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5069B" w14:textId="1326D249" w:rsidR="00F83F11" w:rsidRDefault="00F83F11" w:rsidP="00F83F11">
      <w:pPr>
        <w:spacing w:after="0" w:line="240" w:lineRule="auto"/>
        <w:rPr>
          <w:color w:val="000000" w:themeColor="text1"/>
          <w:lang w:val="fr-FR"/>
        </w:rPr>
      </w:pPr>
      <w:r w:rsidRPr="00521334">
        <w:rPr>
          <w:color w:val="000000" w:themeColor="text1"/>
          <w:highlight w:val="green"/>
          <w:lang w:val="fr-FR"/>
        </w:rPr>
        <w:t>Taux d’intérêts neutres en Eur</w:t>
      </w:r>
      <w:r>
        <w:rPr>
          <w:color w:val="000000" w:themeColor="text1"/>
          <w:highlight w:val="green"/>
          <w:lang w:val="fr-FR"/>
        </w:rPr>
        <w:t>o</w:t>
      </w:r>
      <w:r w:rsidRPr="00521334">
        <w:rPr>
          <w:color w:val="000000" w:themeColor="text1"/>
          <w:highlight w:val="green"/>
          <w:lang w:val="fr-FR"/>
        </w:rPr>
        <w:t xml:space="preserve">pe : pourquoi en </w:t>
      </w:r>
      <w:proofErr w:type="gramStart"/>
      <w:r w:rsidRPr="00521334">
        <w:rPr>
          <w:color w:val="000000" w:themeColor="text1"/>
          <w:highlight w:val="green"/>
          <w:lang w:val="fr-FR"/>
        </w:rPr>
        <w:t>parler ?</w:t>
      </w:r>
      <w:r w:rsidR="0051471B">
        <w:rPr>
          <w:color w:val="000000" w:themeColor="text1"/>
          <w:lang w:val="fr-FR"/>
        </w:rPr>
        <w:t>:</w:t>
      </w:r>
      <w:proofErr w:type="gramEnd"/>
      <w:r w:rsidR="0051471B">
        <w:rPr>
          <w:color w:val="000000" w:themeColor="text1"/>
          <w:lang w:val="fr-FR"/>
        </w:rPr>
        <w:t xml:space="preserve"> DEBUT AVRIL 2025</w:t>
      </w:r>
    </w:p>
    <w:p w14:paraId="4FC1DE78" w14:textId="77777777" w:rsidR="000B2417" w:rsidRDefault="000B2417" w:rsidP="00F83F11">
      <w:pPr>
        <w:spacing w:after="0" w:line="240" w:lineRule="auto"/>
        <w:rPr>
          <w:color w:val="000000" w:themeColor="text1"/>
          <w:lang w:val="fr-FR"/>
        </w:rPr>
      </w:pPr>
    </w:p>
    <w:p w14:paraId="6B8A9D4E" w14:textId="7363CBAD" w:rsidR="000B2417" w:rsidRDefault="000B2417" w:rsidP="00F83F11">
      <w:pPr>
        <w:spacing w:after="0" w:line="240" w:lineRule="auto"/>
        <w:rPr>
          <w:color w:val="000000" w:themeColor="text1"/>
          <w:lang w:val="fr-FR"/>
        </w:rPr>
      </w:pPr>
      <w:r w:rsidRPr="000B2417">
        <w:rPr>
          <w:color w:val="000000" w:themeColor="text1"/>
          <w:highlight w:val="yellow"/>
          <w:lang w:val="fr-FR"/>
        </w:rPr>
        <w:t>LIENS :</w:t>
      </w:r>
    </w:p>
    <w:p w14:paraId="3F8B5747" w14:textId="77777777" w:rsidR="00F83F11" w:rsidRDefault="00F83F11" w:rsidP="00F83F11">
      <w:pPr>
        <w:spacing w:after="0" w:line="240" w:lineRule="auto"/>
        <w:rPr>
          <w:color w:val="000000" w:themeColor="text1"/>
          <w:lang w:val="fr-FR"/>
        </w:rPr>
      </w:pPr>
      <w:hyperlink r:id="rId5" w:history="1">
        <w:r w:rsidRPr="000873F3">
          <w:rPr>
            <w:rStyle w:val="Lienhypertexte"/>
            <w:lang w:val="fr-FR"/>
          </w:rPr>
          <w:t>https://www.linkedin.com/posts/srouzaire_tauxneutre-euribor-aezconomie-activity-7308808352493391873-BCVf/?utm_source=share&amp;utm_medium=member_desktop&amp;rcm=ACoAAF6oc_0BWBNpc1y7qoXwwgA6MFw24AY-_1o</w:t>
        </w:r>
      </w:hyperlink>
    </w:p>
    <w:p w14:paraId="5FA01901" w14:textId="77777777" w:rsidR="00F83F11" w:rsidRDefault="00F83F11" w:rsidP="00F83F11">
      <w:pPr>
        <w:spacing w:after="0" w:line="240" w:lineRule="auto"/>
        <w:rPr>
          <w:rFonts w:ascii="Segoe UI Emoji" w:hAnsi="Segoe UI Emoji" w:cs="Segoe UI Emoji"/>
          <w:color w:val="000000" w:themeColor="text1"/>
        </w:rPr>
      </w:pPr>
    </w:p>
    <w:p w14:paraId="21933FE8" w14:textId="77777777" w:rsidR="00C445E9" w:rsidRDefault="00C445E9" w:rsidP="00C445E9">
      <w:r w:rsidRPr="00F16556">
        <w:rPr>
          <w:highlight w:val="yellow"/>
        </w:rPr>
        <w:t>TEXTE EN FRANÇAIS</w:t>
      </w:r>
    </w:p>
    <w:p w14:paraId="5A75D399" w14:textId="77777777" w:rsidR="006A438D" w:rsidRPr="006A438D" w:rsidRDefault="006A438D" w:rsidP="006A438D">
      <w:pPr>
        <w:spacing w:after="0"/>
      </w:pPr>
      <w:r w:rsidRPr="006A438D">
        <w:rPr>
          <w:rFonts w:ascii="Segoe UI Emoji" w:hAnsi="Segoe UI Emoji" w:cs="Segoe UI Emoji"/>
        </w:rPr>
        <w:t>📌</w:t>
      </w:r>
      <w:r w:rsidRPr="006A438D">
        <w:t xml:space="preserve"> Les taux d’intérêt « neutres » en Europe : pourquoi en parler ?</w:t>
      </w:r>
    </w:p>
    <w:p w14:paraId="754377B6" w14:textId="77777777" w:rsidR="006A438D" w:rsidRPr="006A438D" w:rsidRDefault="006A438D" w:rsidP="006A438D">
      <w:pPr>
        <w:spacing w:after="0"/>
      </w:pPr>
      <w:r w:rsidRPr="006A438D">
        <w:t>Dans un contexte économique incertain, marqué par une forte volatilité des taux, réfléchir aux taux d’intérêt neutres permet d’identifier un repère clé pour mieux comprendre les dynamiques financières actuelles. Explorons leur rôle et leur impact.</w:t>
      </w:r>
    </w:p>
    <w:p w14:paraId="385466DF" w14:textId="77777777" w:rsidR="006A438D" w:rsidRPr="006A438D" w:rsidRDefault="006A438D" w:rsidP="006A438D">
      <w:pPr>
        <w:spacing w:after="0"/>
      </w:pPr>
    </w:p>
    <w:p w14:paraId="18FB4644" w14:textId="77777777" w:rsidR="006A438D" w:rsidRPr="006A438D" w:rsidRDefault="006A438D" w:rsidP="006A438D">
      <w:pPr>
        <w:spacing w:after="0"/>
      </w:pPr>
      <w:r w:rsidRPr="006A438D">
        <w:rPr>
          <w:rFonts w:ascii="Segoe UI Emoji" w:hAnsi="Segoe UI Emoji" w:cs="Segoe UI Emoji"/>
        </w:rPr>
        <w:t>📊</w:t>
      </w:r>
      <w:r w:rsidRPr="006A438D">
        <w:t xml:space="preserve"> Le taux d’intérêt "neutre" : un équilibre clé pour l’économie</w:t>
      </w:r>
    </w:p>
    <w:p w14:paraId="7AC35C97" w14:textId="77777777" w:rsidR="006A438D" w:rsidRPr="006A438D" w:rsidRDefault="006A438D" w:rsidP="006A438D">
      <w:pPr>
        <w:spacing w:after="0"/>
      </w:pPr>
      <w:r w:rsidRPr="006A438D">
        <w:t>Le taux d’intérêt neutre est un concept fondamental en économie et en finance. Il correspond au niveau de taux qui ne stimule ni ne freine l’activité économique. Autrement dit, il équilibre l’offre et la demande de capitaux sans générer d’inflation excessive, ni ralentir la croissance.</w:t>
      </w:r>
    </w:p>
    <w:p w14:paraId="33C40E68" w14:textId="77777777" w:rsidR="006A438D" w:rsidRPr="006A438D" w:rsidRDefault="006A438D" w:rsidP="006A438D">
      <w:pPr>
        <w:spacing w:after="0"/>
      </w:pPr>
    </w:p>
    <w:p w14:paraId="036987DF" w14:textId="77777777" w:rsidR="006A438D" w:rsidRPr="006A438D" w:rsidRDefault="006A438D" w:rsidP="006A438D">
      <w:pPr>
        <w:spacing w:after="0"/>
      </w:pPr>
      <w:r w:rsidRPr="006A438D">
        <w:rPr>
          <w:rFonts w:ascii="Segoe UI Emoji" w:hAnsi="Segoe UI Emoji" w:cs="Segoe UI Emoji"/>
        </w:rPr>
        <w:t>🔹</w:t>
      </w:r>
      <w:r w:rsidRPr="006A438D">
        <w:t xml:space="preserve"> Comment est-il déterminé ?</w:t>
      </w:r>
    </w:p>
    <w:p w14:paraId="028E328F" w14:textId="77777777" w:rsidR="006A438D" w:rsidRPr="006A438D" w:rsidRDefault="006A438D" w:rsidP="006A438D">
      <w:pPr>
        <w:spacing w:after="0"/>
      </w:pPr>
      <w:r w:rsidRPr="006A438D">
        <w:t xml:space="preserve"> Ce taux n’est pas directement observable, mais estimé en fonction de plusieurs facteurs :</w:t>
      </w:r>
    </w:p>
    <w:p w14:paraId="24364270" w14:textId="77777777" w:rsidR="006A438D" w:rsidRPr="006A438D" w:rsidRDefault="006A438D" w:rsidP="006A438D">
      <w:pPr>
        <w:spacing w:after="0"/>
      </w:pPr>
      <w:r w:rsidRPr="006A438D">
        <w:t xml:space="preserve"> </w:t>
      </w:r>
      <w:r w:rsidRPr="006A438D">
        <w:rPr>
          <w:rFonts w:ascii="Segoe UI Emoji" w:hAnsi="Segoe UI Emoji" w:cs="Segoe UI Emoji"/>
        </w:rPr>
        <w:t>✅</w:t>
      </w:r>
      <w:r w:rsidRPr="006A438D">
        <w:t xml:space="preserve"> La croissance potentielle de l</w:t>
      </w:r>
      <w:r w:rsidRPr="006A438D">
        <w:rPr>
          <w:rFonts w:ascii="Aptos" w:hAnsi="Aptos" w:cs="Aptos"/>
        </w:rPr>
        <w:t>’é</w:t>
      </w:r>
      <w:r w:rsidRPr="006A438D">
        <w:t>conomie</w:t>
      </w:r>
    </w:p>
    <w:p w14:paraId="509F75CA" w14:textId="77777777" w:rsidR="006A438D" w:rsidRPr="006A438D" w:rsidRDefault="006A438D" w:rsidP="006A438D">
      <w:pPr>
        <w:spacing w:after="0"/>
      </w:pPr>
      <w:r w:rsidRPr="006A438D">
        <w:t xml:space="preserve"> </w:t>
      </w:r>
      <w:r w:rsidRPr="006A438D">
        <w:rPr>
          <w:rFonts w:ascii="Segoe UI Emoji" w:hAnsi="Segoe UI Emoji" w:cs="Segoe UI Emoji"/>
        </w:rPr>
        <w:t>✅</w:t>
      </w:r>
      <w:r w:rsidRPr="006A438D">
        <w:t xml:space="preserve"> L</w:t>
      </w:r>
      <w:r w:rsidRPr="006A438D">
        <w:rPr>
          <w:rFonts w:ascii="Aptos" w:hAnsi="Aptos" w:cs="Aptos"/>
        </w:rPr>
        <w:t>’</w:t>
      </w:r>
      <w:r w:rsidRPr="006A438D">
        <w:t>inflation cible des banques centrales</w:t>
      </w:r>
    </w:p>
    <w:p w14:paraId="1076B295" w14:textId="77777777" w:rsidR="006A438D" w:rsidRPr="006A438D" w:rsidRDefault="006A438D" w:rsidP="006A438D">
      <w:pPr>
        <w:spacing w:after="0"/>
      </w:pPr>
      <w:r w:rsidRPr="006A438D">
        <w:t xml:space="preserve"> </w:t>
      </w:r>
      <w:r w:rsidRPr="006A438D">
        <w:rPr>
          <w:rFonts w:ascii="Segoe UI Emoji" w:hAnsi="Segoe UI Emoji" w:cs="Segoe UI Emoji"/>
        </w:rPr>
        <w:t>✅</w:t>
      </w:r>
      <w:r w:rsidRPr="006A438D">
        <w:t xml:space="preserve"> La productivit</w:t>
      </w:r>
      <w:r w:rsidRPr="006A438D">
        <w:rPr>
          <w:rFonts w:ascii="Aptos" w:hAnsi="Aptos" w:cs="Aptos"/>
        </w:rPr>
        <w:t>é</w:t>
      </w:r>
      <w:r w:rsidRPr="006A438D">
        <w:t xml:space="preserve"> et l</w:t>
      </w:r>
      <w:r w:rsidRPr="006A438D">
        <w:rPr>
          <w:rFonts w:ascii="Aptos" w:hAnsi="Aptos" w:cs="Aptos"/>
        </w:rPr>
        <w:t>’é</w:t>
      </w:r>
      <w:r w:rsidRPr="006A438D">
        <w:t>pargne disponibles</w:t>
      </w:r>
    </w:p>
    <w:p w14:paraId="34ADBCB2" w14:textId="77777777" w:rsidR="006A438D" w:rsidRPr="006A438D" w:rsidRDefault="006A438D" w:rsidP="006A438D">
      <w:pPr>
        <w:spacing w:after="0"/>
      </w:pPr>
    </w:p>
    <w:p w14:paraId="082CC5D8" w14:textId="77777777" w:rsidR="006A438D" w:rsidRPr="006A438D" w:rsidRDefault="006A438D" w:rsidP="006A438D">
      <w:pPr>
        <w:spacing w:after="0"/>
      </w:pPr>
      <w:r w:rsidRPr="006A438D">
        <w:rPr>
          <w:rFonts w:ascii="Segoe UI Emoji" w:hAnsi="Segoe UI Emoji" w:cs="Segoe UI Emoji"/>
        </w:rPr>
        <w:t>🔹</w:t>
      </w:r>
      <w:r w:rsidRPr="006A438D">
        <w:t xml:space="preserve"> Quel lien avec l’Euribor ?</w:t>
      </w:r>
    </w:p>
    <w:p w14:paraId="38AEA664" w14:textId="77777777" w:rsidR="006A438D" w:rsidRPr="006A438D" w:rsidRDefault="006A438D" w:rsidP="006A438D">
      <w:pPr>
        <w:spacing w:after="0"/>
      </w:pPr>
      <w:r w:rsidRPr="006A438D">
        <w:t xml:space="preserve"> L’Euribor, principal taux de référence du marché interbancaire européen, évolue en fonction des décisions de la BCE et de ses taux directeurs. Actuellement, la BCE estime que le taux neutre se situe entre 1,75 % et 2,25 %. Si l’Euribor est supérieur à cette fourchette, le crédit devient plus coûteux et peut ralentir l’économie. S’il est inférieur, il favorise l’investissement et la consommation, avec un risque d’inflation excessive.</w:t>
      </w:r>
    </w:p>
    <w:p w14:paraId="1F3229A4" w14:textId="77777777" w:rsidR="006A438D" w:rsidRPr="006A438D" w:rsidRDefault="006A438D" w:rsidP="006A438D">
      <w:pPr>
        <w:spacing w:after="0"/>
      </w:pPr>
    </w:p>
    <w:p w14:paraId="62742DDA" w14:textId="77777777" w:rsidR="006A438D" w:rsidRPr="006A438D" w:rsidRDefault="006A438D" w:rsidP="006A438D">
      <w:pPr>
        <w:spacing w:after="0"/>
      </w:pPr>
      <w:r w:rsidRPr="006A438D">
        <w:rPr>
          <w:rFonts w:ascii="Segoe UI Emoji" w:hAnsi="Segoe UI Emoji" w:cs="Segoe UI Emoji"/>
        </w:rPr>
        <w:t>📈</w:t>
      </w:r>
      <w:r w:rsidRPr="006A438D">
        <w:t xml:space="preserve"> Où en est-on aujourd’hui ?</w:t>
      </w:r>
    </w:p>
    <w:p w14:paraId="1E0FE3A8" w14:textId="77777777" w:rsidR="006A438D" w:rsidRPr="006A438D" w:rsidRDefault="006A438D" w:rsidP="006A438D">
      <w:pPr>
        <w:spacing w:after="0"/>
      </w:pPr>
      <w:r w:rsidRPr="006A438D">
        <w:t xml:space="preserve"> L’Euribor 3 mois est proche de 2,40 %. Cela suggère que la politique monétaire reste légèrement restrictive, laissant entrevoir une possible baisse des taux directeurs cette année.</w:t>
      </w:r>
    </w:p>
    <w:p w14:paraId="629D673D" w14:textId="77777777" w:rsidR="006A438D" w:rsidRPr="006A438D" w:rsidRDefault="006A438D" w:rsidP="006A438D">
      <w:pPr>
        <w:spacing w:after="0"/>
      </w:pPr>
    </w:p>
    <w:p w14:paraId="4B8E8CBD" w14:textId="77777777" w:rsidR="006A438D" w:rsidRPr="006A438D" w:rsidRDefault="006A438D" w:rsidP="006A438D">
      <w:pPr>
        <w:spacing w:after="0"/>
      </w:pPr>
      <w:r w:rsidRPr="006A438D">
        <w:t>Toutefois, les Euribor projetés (estimation du marché de ce que seront les Euribor dans le futur), très volatils, ont récemment grimpé à 2,50% - 3% sur des maturités de 3 à 5 ans (+ 30 à 50 points de base sur les différentes maturités depuis 3 semaines). Ils reflètent le coût estimé de l’argent dans le futur compte tenu des grands investissements prévisibles (réarmement, infrastructures, transition énergétique).</w:t>
      </w:r>
    </w:p>
    <w:p w14:paraId="36BA18FC" w14:textId="77777777" w:rsidR="006A438D" w:rsidRPr="006A438D" w:rsidRDefault="006A438D" w:rsidP="006A438D">
      <w:pPr>
        <w:spacing w:after="0"/>
      </w:pPr>
    </w:p>
    <w:p w14:paraId="1C5D4BB9" w14:textId="77777777" w:rsidR="006A438D" w:rsidRPr="006A438D" w:rsidRDefault="006A438D" w:rsidP="006A438D">
      <w:pPr>
        <w:spacing w:after="0"/>
      </w:pPr>
      <w:r w:rsidRPr="006A438D">
        <w:t>Les rebondissements géopolitiques des prochains mois vont forcément influer sur ces anticipations et donc sur le coût des (re)financement et couvertures de taux d’intérêt.</w:t>
      </w:r>
    </w:p>
    <w:p w14:paraId="422EB952" w14:textId="77777777" w:rsidR="006A438D" w:rsidRPr="006A438D" w:rsidRDefault="006A438D" w:rsidP="006A438D">
      <w:pPr>
        <w:spacing w:after="0"/>
      </w:pPr>
    </w:p>
    <w:p w14:paraId="290769BF" w14:textId="158852B6" w:rsidR="00C445E9" w:rsidRPr="006A438D" w:rsidRDefault="006A438D" w:rsidP="006A438D">
      <w:pPr>
        <w:spacing w:after="0"/>
      </w:pPr>
      <w:r w:rsidRPr="006A438D">
        <w:lastRenderedPageBreak/>
        <w:t>Conclusion : Dans des marchés incertains, le taux d’intérêt neutre et les projections d’Euribor sont des points de repère pour réfléchir à vos budgets de frais financiers et vos prochaines échéances de (re)financement !</w:t>
      </w:r>
    </w:p>
    <w:p w14:paraId="5BBE39F1" w14:textId="1F7D607A" w:rsidR="00C445E9" w:rsidRPr="006A438D" w:rsidRDefault="006A438D" w:rsidP="006A438D">
      <w:pPr>
        <w:spacing w:after="0" w:line="240" w:lineRule="auto"/>
        <w:rPr>
          <w:color w:val="000000" w:themeColor="text1"/>
        </w:rPr>
      </w:pPr>
      <w:hyperlink r:id="rId6" w:tgtFrame="_self" w:history="1">
        <w:r w:rsidRPr="00930880">
          <w:rPr>
            <w:rStyle w:val="Lienhypertexte"/>
            <w:b/>
            <w:bCs/>
          </w:rPr>
          <w:t xml:space="preserve">KERIUS FINANCE </w:t>
        </w:r>
        <w:r w:rsidRPr="00930880">
          <w:rPr>
            <w:rStyle w:val="Lienhypertexte"/>
            <w:rFonts w:ascii="MS Gothic" w:eastAsia="MS Gothic" w:hAnsi="MS Gothic" w:cs="MS Gothic" w:hint="eastAsia"/>
            <w:b/>
            <w:bCs/>
          </w:rPr>
          <w:t>合</w:t>
        </w:r>
      </w:hyperlink>
    </w:p>
    <w:p w14:paraId="2BC1B6E2" w14:textId="77777777" w:rsidR="00C445E9" w:rsidRPr="00351EE3" w:rsidRDefault="00C445E9" w:rsidP="00C445E9">
      <w:pPr>
        <w:rPr>
          <w:lang w:val="fr-FR"/>
        </w:rPr>
      </w:pPr>
      <w:r w:rsidRPr="00FB5F8C">
        <w:rPr>
          <w:highlight w:val="yellow"/>
          <w:lang w:val="fr-FR"/>
        </w:rPr>
        <w:t>TEXTE EN ANGLAIS</w:t>
      </w:r>
    </w:p>
    <w:p w14:paraId="1BEC2FE1" w14:textId="77777777" w:rsidR="00F83F11" w:rsidRPr="009A6ED9" w:rsidRDefault="00F83F11" w:rsidP="00F83F11">
      <w:pPr>
        <w:spacing w:after="0" w:line="240" w:lineRule="auto"/>
        <w:rPr>
          <w:b/>
          <w:bCs/>
          <w:color w:val="000000" w:themeColor="text1"/>
          <w:lang w:val="en-US"/>
        </w:rPr>
      </w:pPr>
      <w:r w:rsidRPr="009A6ED9">
        <w:rPr>
          <w:rFonts w:ascii="Segoe UI Emoji" w:hAnsi="Segoe UI Emoji" w:cs="Segoe UI Emoji"/>
          <w:color w:val="000000" w:themeColor="text1"/>
        </w:rPr>
        <w:t>📌</w:t>
      </w:r>
      <w:r w:rsidRPr="009A6ED9">
        <w:rPr>
          <w:color w:val="000000" w:themeColor="text1"/>
          <w:lang w:val="en-US"/>
        </w:rPr>
        <w:t xml:space="preserve"> “Neutral” </w:t>
      </w:r>
      <w:r>
        <w:rPr>
          <w:color w:val="000000" w:themeColor="text1"/>
          <w:lang w:val="en-US"/>
        </w:rPr>
        <w:t>i</w:t>
      </w:r>
      <w:r w:rsidRPr="009A6ED9">
        <w:rPr>
          <w:color w:val="000000" w:themeColor="text1"/>
          <w:lang w:val="en-US"/>
        </w:rPr>
        <w:t xml:space="preserve">nterest </w:t>
      </w:r>
      <w:r>
        <w:rPr>
          <w:color w:val="000000" w:themeColor="text1"/>
          <w:lang w:val="en-US"/>
        </w:rPr>
        <w:t>r</w:t>
      </w:r>
      <w:r w:rsidRPr="009A6ED9">
        <w:rPr>
          <w:color w:val="000000" w:themeColor="text1"/>
          <w:lang w:val="en-US"/>
        </w:rPr>
        <w:t xml:space="preserve">ates in </w:t>
      </w:r>
      <w:r>
        <w:rPr>
          <w:color w:val="000000" w:themeColor="text1"/>
          <w:lang w:val="en-US"/>
        </w:rPr>
        <w:t>E</w:t>
      </w:r>
      <w:r w:rsidRPr="009A6ED9">
        <w:rPr>
          <w:color w:val="000000" w:themeColor="text1"/>
          <w:lang w:val="en-US"/>
        </w:rPr>
        <w:t xml:space="preserve">urope: Why </w:t>
      </w:r>
      <w:r>
        <w:rPr>
          <w:color w:val="000000" w:themeColor="text1"/>
          <w:lang w:val="en-US"/>
        </w:rPr>
        <w:t>d</w:t>
      </w:r>
      <w:r w:rsidRPr="009A6ED9">
        <w:rPr>
          <w:color w:val="000000" w:themeColor="text1"/>
          <w:lang w:val="en-US"/>
        </w:rPr>
        <w:t xml:space="preserve">o </w:t>
      </w:r>
      <w:r>
        <w:rPr>
          <w:color w:val="000000" w:themeColor="text1"/>
          <w:lang w:val="en-US"/>
        </w:rPr>
        <w:t>t</w:t>
      </w:r>
      <w:r w:rsidRPr="009A6ED9">
        <w:rPr>
          <w:color w:val="000000" w:themeColor="text1"/>
          <w:lang w:val="en-US"/>
        </w:rPr>
        <w:t xml:space="preserve">hey </w:t>
      </w:r>
      <w:r>
        <w:rPr>
          <w:color w:val="000000" w:themeColor="text1"/>
          <w:lang w:val="en-US"/>
        </w:rPr>
        <w:t>m</w:t>
      </w:r>
      <w:r w:rsidRPr="009A6ED9">
        <w:rPr>
          <w:color w:val="000000" w:themeColor="text1"/>
          <w:lang w:val="en-US"/>
        </w:rPr>
        <w:t>atter?</w:t>
      </w:r>
    </w:p>
    <w:p w14:paraId="4EF58F86" w14:textId="77777777" w:rsidR="00F83F11" w:rsidRPr="009A6ED9" w:rsidRDefault="00F83F11" w:rsidP="00F83F11">
      <w:pPr>
        <w:pStyle w:val="NormalWeb"/>
        <w:rPr>
          <w:rFonts w:asciiTheme="minorHAnsi" w:hAnsiTheme="minorHAnsi"/>
          <w:sz w:val="22"/>
          <w:szCs w:val="22"/>
          <w:lang w:val="en-US"/>
        </w:rPr>
      </w:pPr>
      <w:r w:rsidRPr="009A6ED9">
        <w:rPr>
          <w:rFonts w:asciiTheme="minorHAnsi" w:hAnsiTheme="minorHAnsi"/>
          <w:sz w:val="22"/>
          <w:szCs w:val="22"/>
          <w:lang w:val="en-US"/>
        </w:rPr>
        <w:t xml:space="preserve">In an uncertain economic environment characterized by heightened interest-rate volatility, thinking in terms of </w:t>
      </w:r>
      <w:r w:rsidRPr="009A6ED9">
        <w:rPr>
          <w:rStyle w:val="Accentuation"/>
          <w:rFonts w:asciiTheme="minorHAnsi" w:eastAsiaTheme="majorEastAsia" w:hAnsiTheme="minorHAnsi"/>
          <w:sz w:val="22"/>
          <w:szCs w:val="22"/>
          <w:lang w:val="en-US"/>
        </w:rPr>
        <w:t>neutral</w:t>
      </w:r>
      <w:r w:rsidRPr="009A6ED9">
        <w:rPr>
          <w:rFonts w:asciiTheme="minorHAnsi" w:hAnsiTheme="minorHAnsi"/>
          <w:i/>
          <w:iCs/>
          <w:sz w:val="22"/>
          <w:szCs w:val="22"/>
          <w:lang w:val="en-US"/>
        </w:rPr>
        <w:t xml:space="preserve"> </w:t>
      </w:r>
      <w:r w:rsidRPr="009A6ED9">
        <w:rPr>
          <w:rFonts w:asciiTheme="minorHAnsi" w:hAnsiTheme="minorHAnsi"/>
          <w:sz w:val="22"/>
          <w:szCs w:val="22"/>
          <w:lang w:val="en-US"/>
        </w:rPr>
        <w:t>interest rates helps identify a key benchmark to better understand today’s financial dynamics. Let’s explore their role and impact.</w:t>
      </w:r>
    </w:p>
    <w:p w14:paraId="3D8FD7C7" w14:textId="77777777" w:rsidR="00F83F11" w:rsidRPr="009A6ED9" w:rsidRDefault="00F83F11" w:rsidP="00F83F11">
      <w:pPr>
        <w:pStyle w:val="NormalWeb"/>
        <w:rPr>
          <w:rFonts w:asciiTheme="minorHAnsi" w:hAnsiTheme="minorHAnsi"/>
          <w:sz w:val="22"/>
          <w:szCs w:val="22"/>
          <w:lang w:val="en-US"/>
        </w:rPr>
      </w:pPr>
      <w:r w:rsidRPr="009A6ED9">
        <w:rPr>
          <w:rFonts w:ascii="Segoe UI Emoji" w:hAnsi="Segoe UI Emoji" w:cs="Segoe UI Emoji"/>
          <w:b/>
          <w:bCs/>
          <w:sz w:val="22"/>
          <w:szCs w:val="22"/>
        </w:rPr>
        <w:t>📊</w:t>
      </w:r>
      <w:r w:rsidRPr="009A6ED9">
        <w:rPr>
          <w:rFonts w:asciiTheme="minorHAnsi" w:hAnsiTheme="minorHAnsi"/>
          <w:b/>
          <w:bCs/>
          <w:sz w:val="22"/>
          <w:szCs w:val="22"/>
          <w:lang w:val="en-US"/>
        </w:rPr>
        <w:t xml:space="preserve"> </w:t>
      </w:r>
      <w:r w:rsidRPr="009A6ED9">
        <w:rPr>
          <w:rStyle w:val="lev"/>
          <w:rFonts w:asciiTheme="minorHAnsi" w:eastAsiaTheme="majorEastAsia" w:hAnsiTheme="minorHAnsi"/>
          <w:sz w:val="22"/>
          <w:szCs w:val="22"/>
          <w:lang w:val="en-US"/>
        </w:rPr>
        <w:t>The “neutral” interest rate: a key economic equilibrium</w:t>
      </w:r>
      <w:r w:rsidRPr="009A6ED9">
        <w:rPr>
          <w:rFonts w:asciiTheme="minorHAnsi" w:hAnsiTheme="minorHAnsi"/>
          <w:sz w:val="22"/>
          <w:szCs w:val="22"/>
          <w:lang w:val="en-US"/>
        </w:rPr>
        <w:br/>
        <w:t>The neutral interest rate is a fundamental concept in economics and finance. It corresponds to the level of interest rates that neither stimulates nor constrains economic activity. In other words, it balances the supply and demand for capital without generating excessive inflation or slowing economic growth.</w:t>
      </w:r>
    </w:p>
    <w:p w14:paraId="5255CDCD" w14:textId="77777777" w:rsidR="00F83F11" w:rsidRPr="009A6ED9" w:rsidRDefault="00F83F11" w:rsidP="00F83F11">
      <w:pPr>
        <w:pStyle w:val="NormalWeb"/>
        <w:rPr>
          <w:rFonts w:asciiTheme="minorHAnsi" w:hAnsiTheme="minorHAnsi"/>
          <w:sz w:val="22"/>
          <w:szCs w:val="22"/>
          <w:lang w:val="en-US"/>
        </w:rPr>
      </w:pPr>
      <w:r w:rsidRPr="009A6ED9">
        <w:rPr>
          <w:rFonts w:ascii="Segoe UI Emoji" w:hAnsi="Segoe UI Emoji" w:cs="Segoe UI Emoji"/>
          <w:b/>
          <w:bCs/>
          <w:sz w:val="22"/>
          <w:szCs w:val="22"/>
        </w:rPr>
        <w:t>🔹</w:t>
      </w:r>
      <w:r w:rsidRPr="009A6ED9">
        <w:rPr>
          <w:rFonts w:asciiTheme="minorHAnsi" w:hAnsiTheme="minorHAnsi"/>
          <w:b/>
          <w:bCs/>
          <w:sz w:val="22"/>
          <w:szCs w:val="22"/>
          <w:lang w:val="en-US"/>
        </w:rPr>
        <w:t xml:space="preserve"> </w:t>
      </w:r>
      <w:r w:rsidRPr="009A6ED9">
        <w:rPr>
          <w:rStyle w:val="lev"/>
          <w:rFonts w:asciiTheme="minorHAnsi" w:eastAsiaTheme="majorEastAsia" w:hAnsiTheme="minorHAnsi"/>
          <w:sz w:val="22"/>
          <w:szCs w:val="22"/>
          <w:lang w:val="en-US"/>
        </w:rPr>
        <w:t>How is it estimated?</w:t>
      </w:r>
      <w:r w:rsidRPr="009A6ED9">
        <w:rPr>
          <w:rFonts w:asciiTheme="minorHAnsi" w:hAnsiTheme="minorHAnsi"/>
          <w:sz w:val="22"/>
          <w:szCs w:val="22"/>
          <w:lang w:val="en-US"/>
        </w:rPr>
        <w:br/>
        <w:t>This rate is not directly observable but estimated based on several factors:</w:t>
      </w:r>
      <w:r w:rsidRPr="009A6ED9">
        <w:rPr>
          <w:rFonts w:asciiTheme="minorHAnsi" w:hAnsiTheme="minorHAnsi"/>
          <w:sz w:val="22"/>
          <w:szCs w:val="22"/>
          <w:lang w:val="en-US"/>
        </w:rPr>
        <w:br/>
      </w:r>
      <w:r w:rsidRPr="009A6ED9">
        <w:rPr>
          <w:rFonts w:ascii="Segoe UI Emoji" w:hAnsi="Segoe UI Emoji" w:cs="Segoe UI Emoji"/>
          <w:sz w:val="22"/>
          <w:szCs w:val="22"/>
          <w:lang w:val="en-US"/>
        </w:rPr>
        <w:t>✅</w:t>
      </w:r>
      <w:r w:rsidRPr="009A6ED9">
        <w:rPr>
          <w:rFonts w:asciiTheme="minorHAnsi" w:hAnsiTheme="minorHAnsi"/>
          <w:sz w:val="22"/>
          <w:szCs w:val="22"/>
          <w:lang w:val="en-US"/>
        </w:rPr>
        <w:t xml:space="preserve"> Potential economic growth</w:t>
      </w:r>
      <w:r w:rsidRPr="009A6ED9">
        <w:rPr>
          <w:rFonts w:asciiTheme="minorHAnsi" w:hAnsiTheme="minorHAnsi"/>
          <w:sz w:val="22"/>
          <w:szCs w:val="22"/>
          <w:lang w:val="en-US"/>
        </w:rPr>
        <w:br/>
      </w:r>
      <w:r w:rsidRPr="009A6ED9">
        <w:rPr>
          <w:rFonts w:ascii="Segoe UI Emoji" w:hAnsi="Segoe UI Emoji" w:cs="Segoe UI Emoji"/>
          <w:sz w:val="22"/>
          <w:szCs w:val="22"/>
          <w:lang w:val="en-US"/>
        </w:rPr>
        <w:t>✅</w:t>
      </w:r>
      <w:r w:rsidRPr="009A6ED9">
        <w:rPr>
          <w:rFonts w:asciiTheme="minorHAnsi" w:hAnsiTheme="minorHAnsi"/>
          <w:sz w:val="22"/>
          <w:szCs w:val="22"/>
          <w:lang w:val="en-US"/>
        </w:rPr>
        <w:t xml:space="preserve"> Central banks’ inflation targets</w:t>
      </w:r>
      <w:r w:rsidRPr="009A6ED9">
        <w:rPr>
          <w:rFonts w:asciiTheme="minorHAnsi" w:hAnsiTheme="minorHAnsi"/>
          <w:sz w:val="22"/>
          <w:szCs w:val="22"/>
          <w:lang w:val="en-US"/>
        </w:rPr>
        <w:br/>
      </w:r>
      <w:r w:rsidRPr="009A6ED9">
        <w:rPr>
          <w:rFonts w:ascii="Segoe UI Emoji" w:hAnsi="Segoe UI Emoji" w:cs="Segoe UI Emoji"/>
          <w:sz w:val="22"/>
          <w:szCs w:val="22"/>
          <w:lang w:val="en-US"/>
        </w:rPr>
        <w:t>✅</w:t>
      </w:r>
      <w:r w:rsidRPr="009A6ED9">
        <w:rPr>
          <w:rFonts w:asciiTheme="minorHAnsi" w:hAnsiTheme="minorHAnsi"/>
          <w:sz w:val="22"/>
          <w:szCs w:val="22"/>
          <w:lang w:val="en-US"/>
        </w:rPr>
        <w:t xml:space="preserve"> Productivity levels and available savings</w:t>
      </w:r>
      <w:r>
        <w:rPr>
          <w:rFonts w:asciiTheme="minorHAnsi" w:hAnsiTheme="minorHAnsi"/>
          <w:sz w:val="22"/>
          <w:szCs w:val="22"/>
          <w:lang w:val="en-US"/>
        </w:rPr>
        <w:t xml:space="preserve"> </w:t>
      </w:r>
    </w:p>
    <w:p w14:paraId="40C50984" w14:textId="77777777" w:rsidR="00F83F11" w:rsidRPr="009A6ED9" w:rsidRDefault="00F83F11" w:rsidP="00F83F11">
      <w:pPr>
        <w:pStyle w:val="NormalWeb"/>
        <w:rPr>
          <w:rFonts w:asciiTheme="minorHAnsi" w:hAnsiTheme="minorHAnsi"/>
          <w:sz w:val="22"/>
          <w:szCs w:val="22"/>
          <w:lang w:val="en-US"/>
        </w:rPr>
      </w:pPr>
      <w:r w:rsidRPr="009A6ED9">
        <w:rPr>
          <w:rFonts w:ascii="Segoe UI Emoji" w:hAnsi="Segoe UI Emoji" w:cs="Segoe UI Emoji"/>
          <w:b/>
          <w:bCs/>
          <w:sz w:val="22"/>
          <w:szCs w:val="22"/>
        </w:rPr>
        <w:t>🔹</w:t>
      </w:r>
      <w:r w:rsidRPr="009A6ED9">
        <w:rPr>
          <w:rFonts w:asciiTheme="minorHAnsi" w:hAnsiTheme="minorHAnsi"/>
          <w:b/>
          <w:bCs/>
          <w:sz w:val="22"/>
          <w:szCs w:val="22"/>
          <w:lang w:val="en-US"/>
        </w:rPr>
        <w:t xml:space="preserve"> </w:t>
      </w:r>
      <w:r w:rsidRPr="009A6ED9">
        <w:rPr>
          <w:rStyle w:val="lev"/>
          <w:rFonts w:asciiTheme="minorHAnsi" w:eastAsiaTheme="majorEastAsia" w:hAnsiTheme="minorHAnsi"/>
          <w:sz w:val="22"/>
          <w:szCs w:val="22"/>
          <w:lang w:val="en-US"/>
        </w:rPr>
        <w:t>How does it relate to Euribor?</w:t>
      </w:r>
      <w:r w:rsidRPr="009A6ED9">
        <w:rPr>
          <w:rFonts w:asciiTheme="minorHAnsi" w:hAnsiTheme="minorHAnsi"/>
          <w:sz w:val="22"/>
          <w:szCs w:val="22"/>
          <w:lang w:val="en-US"/>
        </w:rPr>
        <w:br/>
        <w:t>Euribor, the main benchmark rate of the European interbank market, closely follows ECB monetary policy decisions and its policy rates. The ECB currently estimates the neutral rate to lie between</w:t>
      </w:r>
      <w:r w:rsidRPr="009A6ED9">
        <w:rPr>
          <w:rFonts w:asciiTheme="minorHAnsi" w:hAnsiTheme="minorHAnsi"/>
          <w:b/>
          <w:bCs/>
          <w:sz w:val="22"/>
          <w:szCs w:val="22"/>
          <w:lang w:val="en-US"/>
        </w:rPr>
        <w:t xml:space="preserve"> </w:t>
      </w:r>
      <w:r w:rsidRPr="009A6ED9">
        <w:rPr>
          <w:rStyle w:val="lev"/>
          <w:rFonts w:asciiTheme="minorHAnsi" w:eastAsiaTheme="majorEastAsia" w:hAnsiTheme="minorHAnsi"/>
          <w:sz w:val="22"/>
          <w:szCs w:val="22"/>
          <w:lang w:val="en-US"/>
        </w:rPr>
        <w:t>1.75% and 2.25%</w:t>
      </w:r>
      <w:r w:rsidRPr="009A6ED9">
        <w:rPr>
          <w:rFonts w:asciiTheme="minorHAnsi" w:hAnsiTheme="minorHAnsi"/>
          <w:b/>
          <w:bCs/>
          <w:sz w:val="22"/>
          <w:szCs w:val="22"/>
          <w:lang w:val="en-US"/>
        </w:rPr>
        <w:t>.</w:t>
      </w:r>
      <w:r w:rsidRPr="009A6ED9">
        <w:rPr>
          <w:rFonts w:asciiTheme="minorHAnsi" w:hAnsiTheme="minorHAnsi"/>
          <w:sz w:val="22"/>
          <w:szCs w:val="22"/>
          <w:lang w:val="en-US"/>
        </w:rPr>
        <w:br/>
        <w:t>If Euribor is above this range, borrowing becomes more expensive and may weigh on economic activity. If it is below, it supports investment and consumption, albeit with a risk of excessive inflation.</w:t>
      </w:r>
    </w:p>
    <w:p w14:paraId="620AD0D6" w14:textId="77777777" w:rsidR="00F83F11" w:rsidRPr="009A6ED9" w:rsidRDefault="00F83F11" w:rsidP="00F83F11">
      <w:pPr>
        <w:pStyle w:val="NormalWeb"/>
        <w:rPr>
          <w:rFonts w:asciiTheme="minorHAnsi" w:hAnsiTheme="minorHAnsi"/>
          <w:sz w:val="22"/>
          <w:szCs w:val="22"/>
          <w:lang w:val="en-US"/>
        </w:rPr>
      </w:pPr>
      <w:r w:rsidRPr="009A6ED9">
        <w:rPr>
          <w:rFonts w:ascii="Segoe UI Emoji" w:hAnsi="Segoe UI Emoji" w:cs="Segoe UI Emoji"/>
          <w:b/>
          <w:bCs/>
          <w:sz w:val="22"/>
          <w:szCs w:val="22"/>
        </w:rPr>
        <w:t>📈</w:t>
      </w:r>
      <w:r w:rsidRPr="009A6ED9">
        <w:rPr>
          <w:rFonts w:asciiTheme="minorHAnsi" w:hAnsiTheme="minorHAnsi"/>
          <w:b/>
          <w:bCs/>
          <w:sz w:val="22"/>
          <w:szCs w:val="22"/>
          <w:lang w:val="en-US"/>
        </w:rPr>
        <w:t xml:space="preserve"> </w:t>
      </w:r>
      <w:r w:rsidRPr="009A6ED9">
        <w:rPr>
          <w:rStyle w:val="lev"/>
          <w:rFonts w:asciiTheme="minorHAnsi" w:eastAsiaTheme="majorEastAsia" w:hAnsiTheme="minorHAnsi"/>
          <w:sz w:val="22"/>
          <w:szCs w:val="22"/>
          <w:lang w:val="en-US"/>
        </w:rPr>
        <w:t>Where do we stand today?</w:t>
      </w:r>
      <w:r w:rsidRPr="009A6ED9">
        <w:rPr>
          <w:rFonts w:asciiTheme="minorHAnsi" w:hAnsiTheme="minorHAnsi"/>
          <w:sz w:val="22"/>
          <w:szCs w:val="22"/>
          <w:lang w:val="en-US"/>
        </w:rPr>
        <w:br/>
        <w:t xml:space="preserve">The 3-month Euribor is close to </w:t>
      </w:r>
      <w:r w:rsidRPr="009A6ED9">
        <w:rPr>
          <w:rStyle w:val="lev"/>
          <w:rFonts w:asciiTheme="minorHAnsi" w:eastAsiaTheme="majorEastAsia" w:hAnsiTheme="minorHAnsi"/>
          <w:sz w:val="22"/>
          <w:szCs w:val="22"/>
          <w:lang w:val="en-US"/>
        </w:rPr>
        <w:t>2.40%</w:t>
      </w:r>
      <w:r w:rsidRPr="009A6ED9">
        <w:rPr>
          <w:rFonts w:asciiTheme="minorHAnsi" w:hAnsiTheme="minorHAnsi"/>
          <w:sz w:val="22"/>
          <w:szCs w:val="22"/>
          <w:lang w:val="en-US"/>
        </w:rPr>
        <w:t>, suggesting that monetary policy remains slightly restrictive and leaving room for potential policy-rate cuts later this year.</w:t>
      </w:r>
    </w:p>
    <w:p w14:paraId="53FA914F" w14:textId="77777777" w:rsidR="00F83F11" w:rsidRPr="009A6ED9" w:rsidRDefault="00F83F11" w:rsidP="00F83F11">
      <w:pPr>
        <w:pStyle w:val="NormalWeb"/>
        <w:rPr>
          <w:rFonts w:asciiTheme="minorHAnsi" w:hAnsiTheme="minorHAnsi"/>
          <w:sz w:val="22"/>
          <w:szCs w:val="22"/>
          <w:lang w:val="en-US"/>
        </w:rPr>
      </w:pPr>
      <w:r w:rsidRPr="009A6ED9">
        <w:rPr>
          <w:rFonts w:asciiTheme="minorHAnsi" w:hAnsiTheme="minorHAnsi"/>
          <w:sz w:val="22"/>
          <w:szCs w:val="22"/>
          <w:lang w:val="en-US"/>
        </w:rPr>
        <w:t xml:space="preserve">However, </w:t>
      </w:r>
      <w:r w:rsidRPr="009A6ED9">
        <w:rPr>
          <w:rStyle w:val="lev"/>
          <w:rFonts w:asciiTheme="minorHAnsi" w:eastAsiaTheme="majorEastAsia" w:hAnsiTheme="minorHAnsi"/>
          <w:sz w:val="22"/>
          <w:szCs w:val="22"/>
          <w:lang w:val="en-US"/>
        </w:rPr>
        <w:t>forward Euribor rates</w:t>
      </w:r>
      <w:r w:rsidRPr="009A6ED9">
        <w:rPr>
          <w:rFonts w:asciiTheme="minorHAnsi" w:hAnsiTheme="minorHAnsi"/>
          <w:sz w:val="22"/>
          <w:szCs w:val="22"/>
          <w:lang w:val="en-US"/>
        </w:rPr>
        <w:t xml:space="preserve"> (the market’s expectations of future Euribor levels), which are highly volatile, have recently risen to </w:t>
      </w:r>
      <w:r w:rsidRPr="009A6ED9">
        <w:rPr>
          <w:rStyle w:val="lev"/>
          <w:rFonts w:asciiTheme="minorHAnsi" w:eastAsiaTheme="majorEastAsia" w:hAnsiTheme="minorHAnsi"/>
          <w:sz w:val="22"/>
          <w:szCs w:val="22"/>
          <w:lang w:val="en-US"/>
        </w:rPr>
        <w:t>2.50%–3.00%</w:t>
      </w:r>
      <w:r w:rsidRPr="009A6ED9">
        <w:rPr>
          <w:rFonts w:asciiTheme="minorHAnsi" w:hAnsiTheme="minorHAnsi"/>
          <w:sz w:val="22"/>
          <w:szCs w:val="22"/>
          <w:lang w:val="en-US"/>
        </w:rPr>
        <w:t xml:space="preserve"> over 3- to 5-year maturities (</w:t>
      </w:r>
      <w:r w:rsidRPr="009A6ED9">
        <w:rPr>
          <w:rStyle w:val="lev"/>
          <w:rFonts w:asciiTheme="minorHAnsi" w:eastAsiaTheme="majorEastAsia" w:hAnsiTheme="minorHAnsi"/>
          <w:sz w:val="22"/>
          <w:szCs w:val="22"/>
          <w:lang w:val="en-US"/>
        </w:rPr>
        <w:t>+30 to +50 basis points</w:t>
      </w:r>
      <w:r w:rsidRPr="009A6ED9">
        <w:rPr>
          <w:rFonts w:asciiTheme="minorHAnsi" w:hAnsiTheme="minorHAnsi"/>
          <w:b/>
          <w:bCs/>
          <w:sz w:val="22"/>
          <w:szCs w:val="22"/>
          <w:lang w:val="en-US"/>
        </w:rPr>
        <w:t xml:space="preserve"> </w:t>
      </w:r>
      <w:r w:rsidRPr="009A6ED9">
        <w:rPr>
          <w:rFonts w:asciiTheme="minorHAnsi" w:hAnsiTheme="minorHAnsi"/>
          <w:sz w:val="22"/>
          <w:szCs w:val="22"/>
          <w:lang w:val="en-US"/>
        </w:rPr>
        <w:t xml:space="preserve">across maturities over the past three weeks). These levels reflect the expected future cost of money </w:t>
      </w:r>
      <w:proofErr w:type="gramStart"/>
      <w:r w:rsidRPr="009A6ED9">
        <w:rPr>
          <w:rFonts w:asciiTheme="minorHAnsi" w:hAnsiTheme="minorHAnsi"/>
          <w:sz w:val="22"/>
          <w:szCs w:val="22"/>
          <w:lang w:val="en-US"/>
        </w:rPr>
        <w:t>in light of</w:t>
      </w:r>
      <w:proofErr w:type="gramEnd"/>
      <w:r w:rsidRPr="009A6ED9">
        <w:rPr>
          <w:rFonts w:asciiTheme="minorHAnsi" w:hAnsiTheme="minorHAnsi"/>
          <w:sz w:val="22"/>
          <w:szCs w:val="22"/>
          <w:lang w:val="en-US"/>
        </w:rPr>
        <w:t xml:space="preserve"> major anticipated investments (defense spending, infrastructure, and the energy transition).</w:t>
      </w:r>
    </w:p>
    <w:p w14:paraId="4EA56F4C" w14:textId="77777777" w:rsidR="00F83F11" w:rsidRPr="009A6ED9" w:rsidRDefault="00F83F11" w:rsidP="00F83F11">
      <w:pPr>
        <w:pStyle w:val="NormalWeb"/>
        <w:rPr>
          <w:rFonts w:asciiTheme="minorHAnsi" w:hAnsiTheme="minorHAnsi"/>
          <w:sz w:val="22"/>
          <w:szCs w:val="22"/>
          <w:lang w:val="en-US"/>
        </w:rPr>
      </w:pPr>
      <w:r w:rsidRPr="009A6ED9">
        <w:rPr>
          <w:rFonts w:asciiTheme="minorHAnsi" w:hAnsiTheme="minorHAnsi"/>
          <w:sz w:val="22"/>
          <w:szCs w:val="22"/>
          <w:lang w:val="en-US"/>
        </w:rPr>
        <w:t>Upcoming geopolitical developments over</w:t>
      </w:r>
      <w:r>
        <w:rPr>
          <w:rFonts w:asciiTheme="minorHAnsi" w:hAnsiTheme="minorHAnsi"/>
          <w:sz w:val="22"/>
          <w:szCs w:val="22"/>
          <w:lang w:val="en-US"/>
        </w:rPr>
        <w:t xml:space="preserve"> </w:t>
      </w:r>
      <w:r w:rsidRPr="009A6ED9">
        <w:rPr>
          <w:rFonts w:asciiTheme="minorHAnsi" w:hAnsiTheme="minorHAnsi"/>
          <w:sz w:val="22"/>
          <w:szCs w:val="22"/>
          <w:lang w:val="en-US"/>
        </w:rPr>
        <w:t>the coming months will inevitably influence these expectations</w:t>
      </w:r>
      <w:r>
        <w:rPr>
          <w:rFonts w:asciiTheme="minorHAnsi" w:hAnsiTheme="minorHAnsi"/>
          <w:sz w:val="22"/>
          <w:szCs w:val="22"/>
          <w:lang w:val="en-US"/>
        </w:rPr>
        <w:t xml:space="preserve">, </w:t>
      </w:r>
      <w:r w:rsidRPr="009A6ED9">
        <w:rPr>
          <w:rFonts w:asciiTheme="minorHAnsi" w:hAnsiTheme="minorHAnsi"/>
          <w:sz w:val="22"/>
          <w:szCs w:val="22"/>
          <w:lang w:val="en-US"/>
        </w:rPr>
        <w:t>and therefore the cost of (re)financing and interest-rate hedging.</w:t>
      </w:r>
    </w:p>
    <w:p w14:paraId="3BAB8A28" w14:textId="77777777" w:rsidR="00F83F11" w:rsidRPr="009A6ED9" w:rsidRDefault="00F83F11" w:rsidP="00F83F11">
      <w:pPr>
        <w:pStyle w:val="NormalWeb"/>
        <w:rPr>
          <w:rFonts w:asciiTheme="minorHAnsi" w:hAnsiTheme="minorHAnsi"/>
          <w:sz w:val="22"/>
          <w:szCs w:val="22"/>
          <w:lang w:val="en-US"/>
        </w:rPr>
      </w:pPr>
      <w:r w:rsidRPr="009A6ED9">
        <w:rPr>
          <w:rStyle w:val="lev"/>
          <w:rFonts w:asciiTheme="minorHAnsi" w:eastAsiaTheme="majorEastAsia" w:hAnsiTheme="minorHAnsi"/>
          <w:sz w:val="22"/>
          <w:szCs w:val="22"/>
          <w:lang w:val="en-US"/>
        </w:rPr>
        <w:t>Conclusion:</w:t>
      </w:r>
      <w:r w:rsidRPr="009A6ED9">
        <w:rPr>
          <w:rFonts w:asciiTheme="minorHAnsi" w:hAnsiTheme="minorHAnsi"/>
          <w:sz w:val="22"/>
          <w:szCs w:val="22"/>
          <w:lang w:val="en-US"/>
        </w:rPr>
        <w:t xml:space="preserve"> In uncertain markets, the neutral interest rate and Euribor projections provide essential reference points when thinking about your financing cost budgets and upcoming (re)financing decisions.</w:t>
      </w:r>
    </w:p>
    <w:p w14:paraId="56E3EF7D" w14:textId="77777777" w:rsidR="00F83F11" w:rsidRPr="009A6ED9" w:rsidRDefault="00F83F11" w:rsidP="00F83F11">
      <w:pPr>
        <w:spacing w:after="0" w:line="240" w:lineRule="auto"/>
        <w:rPr>
          <w:color w:val="000000" w:themeColor="text1"/>
        </w:rPr>
      </w:pPr>
      <w:hyperlink r:id="rId7" w:tgtFrame="_self" w:history="1">
        <w:r w:rsidRPr="00930880">
          <w:rPr>
            <w:rStyle w:val="Lienhypertexte"/>
            <w:b/>
            <w:bCs/>
          </w:rPr>
          <w:t xml:space="preserve">KERIUS FINANCE </w:t>
        </w:r>
        <w:r w:rsidRPr="00930880">
          <w:rPr>
            <w:rStyle w:val="Lienhypertexte"/>
            <w:rFonts w:ascii="MS Gothic" w:eastAsia="MS Gothic" w:hAnsi="MS Gothic" w:cs="MS Gothic" w:hint="eastAsia"/>
            <w:b/>
            <w:bCs/>
          </w:rPr>
          <w:t>合</w:t>
        </w:r>
      </w:hyperlink>
    </w:p>
    <w:p w14:paraId="12F737E1" w14:textId="77777777" w:rsidR="00594C2B" w:rsidRPr="00F83F11" w:rsidRDefault="00594C2B" w:rsidP="00F83F11">
      <w:pPr>
        <w:rPr>
          <w:lang w:val="en-US"/>
        </w:rPr>
      </w:pPr>
    </w:p>
    <w:sectPr w:rsidR="00594C2B" w:rsidRPr="00F83F11" w:rsidSect="00343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E70"/>
    <w:multiLevelType w:val="multilevel"/>
    <w:tmpl w:val="5142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585319"/>
    <w:multiLevelType w:val="multilevel"/>
    <w:tmpl w:val="7AEC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9479453">
    <w:abstractNumId w:val="1"/>
  </w:num>
  <w:num w:numId="2" w16cid:durableId="51021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6B"/>
    <w:rsid w:val="000B2417"/>
    <w:rsid w:val="00343E31"/>
    <w:rsid w:val="004B3EA4"/>
    <w:rsid w:val="0051471B"/>
    <w:rsid w:val="00594C2B"/>
    <w:rsid w:val="005B706B"/>
    <w:rsid w:val="006A438D"/>
    <w:rsid w:val="00942841"/>
    <w:rsid w:val="00A577AE"/>
    <w:rsid w:val="00B27526"/>
    <w:rsid w:val="00BA5186"/>
    <w:rsid w:val="00C445E9"/>
    <w:rsid w:val="00F54A13"/>
    <w:rsid w:val="00F83F11"/>
    <w:rsid w:val="00FF0B8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F1DD"/>
  <w15:chartTrackingRefBased/>
  <w15:docId w15:val="{6CAE986C-BB3A-4B60-81DB-8A402118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06B"/>
    <w:pPr>
      <w:spacing w:line="259" w:lineRule="auto"/>
    </w:pPr>
    <w:rPr>
      <w:sz w:val="22"/>
      <w:szCs w:val="22"/>
      <w:lang w:val="fr-CH"/>
    </w:rPr>
  </w:style>
  <w:style w:type="paragraph" w:styleId="Titre1">
    <w:name w:val="heading 1"/>
    <w:basedOn w:val="Normal"/>
    <w:next w:val="Normal"/>
    <w:link w:val="Titre1Car"/>
    <w:uiPriority w:val="9"/>
    <w:qFormat/>
    <w:rsid w:val="005B706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fr-FR"/>
    </w:rPr>
  </w:style>
  <w:style w:type="paragraph" w:styleId="Titre2">
    <w:name w:val="heading 2"/>
    <w:basedOn w:val="Normal"/>
    <w:next w:val="Normal"/>
    <w:link w:val="Titre2Car"/>
    <w:uiPriority w:val="9"/>
    <w:semiHidden/>
    <w:unhideWhenUsed/>
    <w:qFormat/>
    <w:rsid w:val="005B706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fr-FR"/>
    </w:rPr>
  </w:style>
  <w:style w:type="paragraph" w:styleId="Titre3">
    <w:name w:val="heading 3"/>
    <w:basedOn w:val="Normal"/>
    <w:next w:val="Normal"/>
    <w:link w:val="Titre3Car"/>
    <w:uiPriority w:val="9"/>
    <w:semiHidden/>
    <w:unhideWhenUsed/>
    <w:qFormat/>
    <w:rsid w:val="005B706B"/>
    <w:pPr>
      <w:keepNext/>
      <w:keepLines/>
      <w:spacing w:before="160" w:after="80" w:line="278" w:lineRule="auto"/>
      <w:outlineLvl w:val="2"/>
    </w:pPr>
    <w:rPr>
      <w:rFonts w:eastAsiaTheme="majorEastAsia" w:cstheme="majorBidi"/>
      <w:color w:val="0F4761" w:themeColor="accent1" w:themeShade="BF"/>
      <w:sz w:val="28"/>
      <w:szCs w:val="28"/>
      <w:lang w:val="fr-FR"/>
    </w:rPr>
  </w:style>
  <w:style w:type="paragraph" w:styleId="Titre4">
    <w:name w:val="heading 4"/>
    <w:basedOn w:val="Normal"/>
    <w:next w:val="Normal"/>
    <w:link w:val="Titre4Car"/>
    <w:uiPriority w:val="9"/>
    <w:semiHidden/>
    <w:unhideWhenUsed/>
    <w:qFormat/>
    <w:rsid w:val="005B706B"/>
    <w:pPr>
      <w:keepNext/>
      <w:keepLines/>
      <w:spacing w:before="80" w:after="40" w:line="278" w:lineRule="auto"/>
      <w:outlineLvl w:val="3"/>
    </w:pPr>
    <w:rPr>
      <w:rFonts w:eastAsiaTheme="majorEastAsia" w:cstheme="majorBidi"/>
      <w:i/>
      <w:iCs/>
      <w:color w:val="0F4761" w:themeColor="accent1" w:themeShade="BF"/>
      <w:sz w:val="24"/>
      <w:szCs w:val="24"/>
      <w:lang w:val="fr-FR"/>
    </w:rPr>
  </w:style>
  <w:style w:type="paragraph" w:styleId="Titre5">
    <w:name w:val="heading 5"/>
    <w:basedOn w:val="Normal"/>
    <w:next w:val="Normal"/>
    <w:link w:val="Titre5Car"/>
    <w:uiPriority w:val="9"/>
    <w:semiHidden/>
    <w:unhideWhenUsed/>
    <w:qFormat/>
    <w:rsid w:val="005B706B"/>
    <w:pPr>
      <w:keepNext/>
      <w:keepLines/>
      <w:spacing w:before="80" w:after="40" w:line="278" w:lineRule="auto"/>
      <w:outlineLvl w:val="4"/>
    </w:pPr>
    <w:rPr>
      <w:rFonts w:eastAsiaTheme="majorEastAsia" w:cstheme="majorBidi"/>
      <w:color w:val="0F4761" w:themeColor="accent1" w:themeShade="BF"/>
      <w:sz w:val="24"/>
      <w:szCs w:val="24"/>
      <w:lang w:val="fr-FR"/>
    </w:rPr>
  </w:style>
  <w:style w:type="paragraph" w:styleId="Titre6">
    <w:name w:val="heading 6"/>
    <w:basedOn w:val="Normal"/>
    <w:next w:val="Normal"/>
    <w:link w:val="Titre6Car"/>
    <w:uiPriority w:val="9"/>
    <w:semiHidden/>
    <w:unhideWhenUsed/>
    <w:qFormat/>
    <w:rsid w:val="005B706B"/>
    <w:pPr>
      <w:keepNext/>
      <w:keepLines/>
      <w:spacing w:before="40" w:after="0" w:line="278" w:lineRule="auto"/>
      <w:outlineLvl w:val="5"/>
    </w:pPr>
    <w:rPr>
      <w:rFonts w:eastAsiaTheme="majorEastAsia" w:cstheme="majorBidi"/>
      <w:i/>
      <w:iCs/>
      <w:color w:val="595959" w:themeColor="text1" w:themeTint="A6"/>
      <w:sz w:val="24"/>
      <w:szCs w:val="24"/>
      <w:lang w:val="fr-FR"/>
    </w:rPr>
  </w:style>
  <w:style w:type="paragraph" w:styleId="Titre7">
    <w:name w:val="heading 7"/>
    <w:basedOn w:val="Normal"/>
    <w:next w:val="Normal"/>
    <w:link w:val="Titre7Car"/>
    <w:uiPriority w:val="9"/>
    <w:semiHidden/>
    <w:unhideWhenUsed/>
    <w:qFormat/>
    <w:rsid w:val="005B706B"/>
    <w:pPr>
      <w:keepNext/>
      <w:keepLines/>
      <w:spacing w:before="40" w:after="0" w:line="278" w:lineRule="auto"/>
      <w:outlineLvl w:val="6"/>
    </w:pPr>
    <w:rPr>
      <w:rFonts w:eastAsiaTheme="majorEastAsia" w:cstheme="majorBidi"/>
      <w:color w:val="595959" w:themeColor="text1" w:themeTint="A6"/>
      <w:sz w:val="24"/>
      <w:szCs w:val="24"/>
      <w:lang w:val="fr-FR"/>
    </w:rPr>
  </w:style>
  <w:style w:type="paragraph" w:styleId="Titre8">
    <w:name w:val="heading 8"/>
    <w:basedOn w:val="Normal"/>
    <w:next w:val="Normal"/>
    <w:link w:val="Titre8Car"/>
    <w:uiPriority w:val="9"/>
    <w:semiHidden/>
    <w:unhideWhenUsed/>
    <w:qFormat/>
    <w:rsid w:val="005B706B"/>
    <w:pPr>
      <w:keepNext/>
      <w:keepLines/>
      <w:spacing w:after="0" w:line="278" w:lineRule="auto"/>
      <w:outlineLvl w:val="7"/>
    </w:pPr>
    <w:rPr>
      <w:rFonts w:eastAsiaTheme="majorEastAsia" w:cstheme="majorBidi"/>
      <w:i/>
      <w:iCs/>
      <w:color w:val="272727" w:themeColor="text1" w:themeTint="D8"/>
      <w:sz w:val="24"/>
      <w:szCs w:val="24"/>
      <w:lang w:val="fr-FR"/>
    </w:rPr>
  </w:style>
  <w:style w:type="paragraph" w:styleId="Titre9">
    <w:name w:val="heading 9"/>
    <w:basedOn w:val="Normal"/>
    <w:next w:val="Normal"/>
    <w:link w:val="Titre9Car"/>
    <w:uiPriority w:val="9"/>
    <w:semiHidden/>
    <w:unhideWhenUsed/>
    <w:qFormat/>
    <w:rsid w:val="005B706B"/>
    <w:pPr>
      <w:keepNext/>
      <w:keepLines/>
      <w:spacing w:after="0" w:line="278" w:lineRule="auto"/>
      <w:outlineLvl w:val="8"/>
    </w:pPr>
    <w:rPr>
      <w:rFonts w:eastAsiaTheme="majorEastAsia" w:cstheme="majorBidi"/>
      <w:color w:val="272727" w:themeColor="text1" w:themeTint="D8"/>
      <w:sz w:val="24"/>
      <w:szCs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B70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B70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B70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B70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B70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B70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B70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B70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B706B"/>
    <w:rPr>
      <w:rFonts w:eastAsiaTheme="majorEastAsia" w:cstheme="majorBidi"/>
      <w:color w:val="272727" w:themeColor="text1" w:themeTint="D8"/>
    </w:rPr>
  </w:style>
  <w:style w:type="paragraph" w:styleId="Titre">
    <w:name w:val="Title"/>
    <w:basedOn w:val="Normal"/>
    <w:next w:val="Normal"/>
    <w:link w:val="TitreCar"/>
    <w:uiPriority w:val="10"/>
    <w:qFormat/>
    <w:rsid w:val="005B706B"/>
    <w:pPr>
      <w:spacing w:after="80" w:line="240" w:lineRule="auto"/>
      <w:contextualSpacing/>
    </w:pPr>
    <w:rPr>
      <w:rFonts w:asciiTheme="majorHAnsi" w:eastAsiaTheme="majorEastAsia" w:hAnsiTheme="majorHAnsi" w:cstheme="majorBidi"/>
      <w:spacing w:val="-10"/>
      <w:kern w:val="28"/>
      <w:sz w:val="56"/>
      <w:szCs w:val="56"/>
      <w:lang w:val="fr-FR"/>
    </w:rPr>
  </w:style>
  <w:style w:type="character" w:customStyle="1" w:styleId="TitreCar">
    <w:name w:val="Titre Car"/>
    <w:basedOn w:val="Policepardfaut"/>
    <w:link w:val="Titre"/>
    <w:uiPriority w:val="10"/>
    <w:rsid w:val="005B70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B706B"/>
    <w:pPr>
      <w:numPr>
        <w:ilvl w:val="1"/>
      </w:numPr>
      <w:spacing w:line="278" w:lineRule="auto"/>
    </w:pPr>
    <w:rPr>
      <w:rFonts w:eastAsiaTheme="majorEastAsia" w:cstheme="majorBidi"/>
      <w:color w:val="595959" w:themeColor="text1" w:themeTint="A6"/>
      <w:spacing w:val="15"/>
      <w:sz w:val="28"/>
      <w:szCs w:val="28"/>
      <w:lang w:val="fr-FR"/>
    </w:rPr>
  </w:style>
  <w:style w:type="character" w:customStyle="1" w:styleId="Sous-titreCar">
    <w:name w:val="Sous-titre Car"/>
    <w:basedOn w:val="Policepardfaut"/>
    <w:link w:val="Sous-titre"/>
    <w:uiPriority w:val="11"/>
    <w:rsid w:val="005B70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B706B"/>
    <w:pPr>
      <w:spacing w:before="160" w:line="278" w:lineRule="auto"/>
      <w:jc w:val="center"/>
    </w:pPr>
    <w:rPr>
      <w:i/>
      <w:iCs/>
      <w:color w:val="404040" w:themeColor="text1" w:themeTint="BF"/>
      <w:sz w:val="24"/>
      <w:szCs w:val="24"/>
      <w:lang w:val="fr-FR"/>
    </w:rPr>
  </w:style>
  <w:style w:type="character" w:customStyle="1" w:styleId="CitationCar">
    <w:name w:val="Citation Car"/>
    <w:basedOn w:val="Policepardfaut"/>
    <w:link w:val="Citation"/>
    <w:uiPriority w:val="29"/>
    <w:rsid w:val="005B706B"/>
    <w:rPr>
      <w:i/>
      <w:iCs/>
      <w:color w:val="404040" w:themeColor="text1" w:themeTint="BF"/>
    </w:rPr>
  </w:style>
  <w:style w:type="paragraph" w:styleId="Paragraphedeliste">
    <w:name w:val="List Paragraph"/>
    <w:basedOn w:val="Normal"/>
    <w:uiPriority w:val="34"/>
    <w:qFormat/>
    <w:rsid w:val="005B706B"/>
    <w:pPr>
      <w:spacing w:line="278" w:lineRule="auto"/>
      <w:ind w:left="720"/>
      <w:contextualSpacing/>
    </w:pPr>
    <w:rPr>
      <w:sz w:val="24"/>
      <w:szCs w:val="24"/>
      <w:lang w:val="fr-FR"/>
    </w:rPr>
  </w:style>
  <w:style w:type="character" w:styleId="Accentuationintense">
    <w:name w:val="Intense Emphasis"/>
    <w:basedOn w:val="Policepardfaut"/>
    <w:uiPriority w:val="21"/>
    <w:qFormat/>
    <w:rsid w:val="005B706B"/>
    <w:rPr>
      <w:i/>
      <w:iCs/>
      <w:color w:val="0F4761" w:themeColor="accent1" w:themeShade="BF"/>
    </w:rPr>
  </w:style>
  <w:style w:type="paragraph" w:styleId="Citationintense">
    <w:name w:val="Intense Quote"/>
    <w:basedOn w:val="Normal"/>
    <w:next w:val="Normal"/>
    <w:link w:val="CitationintenseCar"/>
    <w:uiPriority w:val="30"/>
    <w:qFormat/>
    <w:rsid w:val="005B706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fr-FR"/>
    </w:rPr>
  </w:style>
  <w:style w:type="character" w:customStyle="1" w:styleId="CitationintenseCar">
    <w:name w:val="Citation intense Car"/>
    <w:basedOn w:val="Policepardfaut"/>
    <w:link w:val="Citationintense"/>
    <w:uiPriority w:val="30"/>
    <w:rsid w:val="005B706B"/>
    <w:rPr>
      <w:i/>
      <w:iCs/>
      <w:color w:val="0F4761" w:themeColor="accent1" w:themeShade="BF"/>
    </w:rPr>
  </w:style>
  <w:style w:type="character" w:styleId="Rfrenceintense">
    <w:name w:val="Intense Reference"/>
    <w:basedOn w:val="Policepardfaut"/>
    <w:uiPriority w:val="32"/>
    <w:qFormat/>
    <w:rsid w:val="005B706B"/>
    <w:rPr>
      <w:b/>
      <w:bCs/>
      <w:smallCaps/>
      <w:color w:val="0F4761" w:themeColor="accent1" w:themeShade="BF"/>
      <w:spacing w:val="5"/>
    </w:rPr>
  </w:style>
  <w:style w:type="character" w:styleId="Lienhypertexte">
    <w:name w:val="Hyperlink"/>
    <w:basedOn w:val="Policepardfaut"/>
    <w:uiPriority w:val="99"/>
    <w:unhideWhenUsed/>
    <w:rsid w:val="005B706B"/>
    <w:rPr>
      <w:color w:val="467886" w:themeColor="hyperlink"/>
      <w:u w:val="single"/>
    </w:rPr>
  </w:style>
  <w:style w:type="paragraph" w:styleId="NormalWeb">
    <w:name w:val="Normal (Web)"/>
    <w:basedOn w:val="Normal"/>
    <w:uiPriority w:val="99"/>
    <w:unhideWhenUsed/>
    <w:rsid w:val="00F83F11"/>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styleId="Accentuation">
    <w:name w:val="Emphasis"/>
    <w:basedOn w:val="Policepardfaut"/>
    <w:uiPriority w:val="20"/>
    <w:qFormat/>
    <w:rsid w:val="00F83F11"/>
    <w:rPr>
      <w:i/>
      <w:iCs/>
    </w:rPr>
  </w:style>
  <w:style w:type="character" w:styleId="lev">
    <w:name w:val="Strong"/>
    <w:basedOn w:val="Policepardfaut"/>
    <w:uiPriority w:val="22"/>
    <w:qFormat/>
    <w:rsid w:val="00F83F11"/>
    <w:rPr>
      <w:b/>
      <w:bCs/>
    </w:rPr>
  </w:style>
  <w:style w:type="character" w:styleId="Lienhypertextesuivivisit">
    <w:name w:val="FollowedHyperlink"/>
    <w:basedOn w:val="Policepardfaut"/>
    <w:uiPriority w:val="99"/>
    <w:semiHidden/>
    <w:unhideWhenUsed/>
    <w:rsid w:val="006A43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company/kerius-fin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company/kerius-finance/" TargetMode="External"/><Relationship Id="rId5" Type="http://schemas.openxmlformats.org/officeDocument/2006/relationships/hyperlink" Target="https://www.linkedin.com/posts/srouzaire_tauxneutre-euribor-aezconomie-activity-7308808352493391873-BCVf/?utm_source=share&amp;utm_medium=member_desktop&amp;rcm=ACoAAF6oc_0BWBNpc1y7qoXwwgA6MFw24AY-_1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835</Words>
  <Characters>4595</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Dinah OUARDIRI</dc:creator>
  <cp:keywords/>
  <dc:description/>
  <cp:lastModifiedBy>Dinah OUARDIRI</cp:lastModifiedBy>
  <cp:revision>8</cp:revision>
  <dcterms:created xsi:type="dcterms:W3CDTF">2025-12-17T14:10:00Z</dcterms:created>
  <dcterms:modified xsi:type="dcterms:W3CDTF">2025-12-17T16:12:00Z</dcterms:modified>
</cp:coreProperties>
</file>