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428C" w14:textId="6CBCA61F" w:rsidR="006462D4" w:rsidRDefault="00B420AB" w:rsidP="00F66947">
      <w:pPr>
        <w:rPr>
          <w:rFonts w:ascii="Hanken Grotesk" w:hAnsi="Hanken Grotesk"/>
          <w:color w:val="333333"/>
          <w:sz w:val="28"/>
          <w:szCs w:val="28"/>
        </w:rPr>
      </w:pPr>
      <w:r>
        <w:rPr>
          <w:rFonts w:ascii="Hanken Grotesk" w:hAnsi="Hanken Grotesk"/>
          <w:noProof/>
          <w:color w:val="333333"/>
          <w:sz w:val="28"/>
          <w:szCs w:val="28"/>
        </w:rPr>
        <mc:AlternateContent>
          <mc:Choice Requires="wps">
            <w:drawing>
              <wp:anchor distT="0" distB="0" distL="114300" distR="114300" simplePos="0" relativeHeight="251662336" behindDoc="0" locked="0" layoutInCell="1" allowOverlap="1" wp14:anchorId="34F23136" wp14:editId="53C65577">
                <wp:simplePos x="0" y="0"/>
                <wp:positionH relativeFrom="page">
                  <wp:posOffset>-95693</wp:posOffset>
                </wp:positionH>
                <wp:positionV relativeFrom="paragraph">
                  <wp:posOffset>420518</wp:posOffset>
                </wp:positionV>
                <wp:extent cx="2317898" cy="348925"/>
                <wp:effectExtent l="0" t="0" r="6350" b="0"/>
                <wp:wrapNone/>
                <wp:docPr id="1000619165" name="Zone de texte 1"/>
                <wp:cNvGraphicFramePr/>
                <a:graphic xmlns:a="http://schemas.openxmlformats.org/drawingml/2006/main">
                  <a:graphicData uri="http://schemas.microsoft.com/office/word/2010/wordprocessingShape">
                    <wps:wsp>
                      <wps:cNvSpPr txBox="1"/>
                      <wps:spPr>
                        <a:xfrm>
                          <a:off x="0" y="0"/>
                          <a:ext cx="2317898" cy="348925"/>
                        </a:xfrm>
                        <a:prstGeom prst="roundRect">
                          <a:avLst>
                            <a:gd name="adj" fmla="val 14341"/>
                          </a:avLst>
                        </a:prstGeom>
                        <a:solidFill>
                          <a:srgbClr val="E8E8E8"/>
                        </a:solidFill>
                        <a:ln w="9525">
                          <a:noFill/>
                        </a:ln>
                      </wps:spPr>
                      <wps:txbx>
                        <w:txbxContent>
                          <w:p w14:paraId="257F0B9D" w14:textId="2BB6B2F2" w:rsidR="00D62991" w:rsidRPr="00AC3AFE" w:rsidRDefault="00B17C73" w:rsidP="00B420AB">
                            <w:pPr>
                              <w:spacing w:after="0"/>
                              <w:ind w:left="170" w:right="170"/>
                              <w:jc w:val="right"/>
                              <w:rPr>
                                <w:rFonts w:ascii="Open Sans" w:hAnsi="Open Sans" w:cs="Open Sans"/>
                                <w:b/>
                                <w:bCs/>
                                <w:color w:val="0A4741"/>
                                <w:sz w:val="24"/>
                                <w:szCs w:val="24"/>
                              </w:rPr>
                            </w:pPr>
                            <w:r>
                              <w:rPr>
                                <w:rFonts w:ascii="Open Sans" w:hAnsi="Open Sans" w:cs="Open Sans"/>
                                <w:b/>
                                <w:bCs/>
                                <w:color w:val="0A4741"/>
                                <w:sz w:val="24"/>
                                <w:szCs w:val="24"/>
                              </w:rPr>
                              <w:t>29/09/2025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23136" id="Zone de texte 1" o:spid="_x0000_s1026" style="position:absolute;margin-left:-7.55pt;margin-top:33.1pt;width:182.5pt;height:2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9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" fillcolor="#e8e8e8" stroked="f">
                <v:textbox>
                  <w:txbxContent>
                    <w:p w14:paraId="257F0B9D" w14:textId="2BB6B2F2" w:rsidR="00D62991" w:rsidRPr="00AC3AFE" w:rsidRDefault="00B17C73" w:rsidP="00B420AB">
                      <w:pPr>
                        <w:spacing w:after="0"/>
                        <w:ind w:left="170" w:right="170"/>
                        <w:jc w:val="right"/>
                        <w:rPr>
                          <w:rFonts w:ascii="Open Sans" w:hAnsi="Open Sans" w:cs="Open Sans"/>
                          <w:b/>
                          <w:bCs/>
                          <w:color w:val="0A4741"/>
                          <w:sz w:val="24"/>
                          <w:szCs w:val="24"/>
                        </w:rPr>
                      </w:pPr>
                      <w:r>
                        <w:rPr>
                          <w:rFonts w:ascii="Open Sans" w:hAnsi="Open Sans" w:cs="Open Sans"/>
                          <w:b/>
                          <w:bCs/>
                          <w:color w:val="0A4741"/>
                          <w:sz w:val="24"/>
                          <w:szCs w:val="24"/>
                        </w:rPr>
                        <w:t>29/09/2025</w:t>
                      </w:r>
                    </w:p>
                  </w:txbxContent>
                </v:textbox>
                <w10:wrap anchorx="page"/>
              </v:roundrect>
            </w:pict>
          </mc:Fallback>
        </mc:AlternateContent>
      </w:r>
    </w:p>
    <w:p w14:paraId="1B7C7CB1" w14:textId="7E666AF6" w:rsidR="006462D4" w:rsidRDefault="006462D4" w:rsidP="00FA383C">
      <w:pPr>
        <w:rPr>
          <w:rFonts w:ascii="Hanken Grotesk" w:hAnsi="Hanken Grotesk"/>
          <w:color w:val="333333"/>
          <w:sz w:val="28"/>
          <w:szCs w:val="28"/>
        </w:rPr>
      </w:pPr>
    </w:p>
    <w:p w14:paraId="270441E3" w14:textId="18CBB1B4" w:rsidR="00F66947" w:rsidRDefault="00150F0B" w:rsidP="00FA383C">
      <w:pPr>
        <w:rPr>
          <w:rFonts w:ascii="Hanken Grotesk" w:hAnsi="Hanken Grotesk"/>
          <w:color w:val="333333"/>
          <w:sz w:val="28"/>
          <w:szCs w:val="28"/>
        </w:rPr>
      </w:pPr>
      <w:r w:rsidRPr="00A37FC4">
        <w:rPr>
          <w:rFonts w:ascii="Hanken Grotesk" w:hAnsi="Hanken Grotesk"/>
          <w:noProof/>
          <w:color w:val="333333"/>
          <w:sz w:val="52"/>
          <w:szCs w:val="52"/>
        </w:rPr>
        <mc:AlternateContent>
          <mc:Choice Requires="wps">
            <w:drawing>
              <wp:anchor distT="0" distB="0" distL="114300" distR="114300" simplePos="0" relativeHeight="251659263" behindDoc="0" locked="0" layoutInCell="1" allowOverlap="1" wp14:anchorId="341EA382" wp14:editId="05FDE8E9">
                <wp:simplePos x="0" y="0"/>
                <wp:positionH relativeFrom="margin">
                  <wp:posOffset>0</wp:posOffset>
                </wp:positionH>
                <wp:positionV relativeFrom="paragraph">
                  <wp:posOffset>155575</wp:posOffset>
                </wp:positionV>
                <wp:extent cx="7545705" cy="942975"/>
                <wp:effectExtent l="0" t="0" r="0" b="0"/>
                <wp:wrapNone/>
                <wp:docPr id="19381937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705" cy="942975"/>
                        </a:xfrm>
                        <a:prstGeom prst="rect">
                          <a:avLst/>
                        </a:prstGeom>
                        <a:noFill/>
                        <a:ln w="9525">
                          <a:noFill/>
                          <a:miter lim="800000"/>
                          <a:headEnd/>
                          <a:tailEnd/>
                        </a:ln>
                      </wps:spPr>
                      <wps:txbx>
                        <w:txbxContent>
                          <w:p w14:paraId="700DD863" w14:textId="77777777" w:rsidR="00E5447D" w:rsidRDefault="00E5447D" w:rsidP="00E5447D">
                            <w:pPr>
                              <w:spacing w:after="120"/>
                              <w:rPr>
                                <w:rFonts w:ascii="Pill Gothic 600mg Bk" w:hAnsi="Pill Gothic 600mg Bk"/>
                                <w:color w:val="333333"/>
                                <w:sz w:val="50"/>
                                <w:szCs w:val="50"/>
                              </w:rPr>
                            </w:pPr>
                            <w:r w:rsidRPr="00E5447D">
                              <w:rPr>
                                <w:rFonts w:ascii="Pill Gothic 600mg Bk" w:hAnsi="Pill Gothic 600mg Bk"/>
                                <w:color w:val="333333"/>
                                <w:sz w:val="50"/>
                                <w:szCs w:val="50"/>
                              </w:rPr>
                              <w:t>Couverture Macro-</w:t>
                            </w:r>
                            <w:proofErr w:type="spellStart"/>
                            <w:r w:rsidRPr="00E5447D">
                              <w:rPr>
                                <w:rFonts w:ascii="Pill Gothic 600mg Bk" w:hAnsi="Pill Gothic 600mg Bk"/>
                                <w:color w:val="333333"/>
                                <w:sz w:val="50"/>
                                <w:szCs w:val="50"/>
                              </w:rPr>
                              <w:t>Hedge</w:t>
                            </w:r>
                            <w:proofErr w:type="spellEnd"/>
                            <w:r w:rsidRPr="00E5447D">
                              <w:rPr>
                                <w:rFonts w:ascii="Pill Gothic 600mg Bk" w:hAnsi="Pill Gothic 600mg Bk"/>
                                <w:color w:val="333333"/>
                                <w:sz w:val="50"/>
                                <w:szCs w:val="50"/>
                              </w:rPr>
                              <w:t xml:space="preserve"> sous IFRS 9 </w:t>
                            </w:r>
                          </w:p>
                          <w:p w14:paraId="2FE66DBD" w14:textId="2B3EC454" w:rsidR="00A37FC4" w:rsidRPr="00443189" w:rsidRDefault="00E5447D" w:rsidP="00E5447D">
                            <w:pPr>
                              <w:spacing w:after="120"/>
                              <w:rPr>
                                <w:rFonts w:ascii="Pill Gothic 600mg Bk" w:hAnsi="Pill Gothic 600mg Bk"/>
                                <w:color w:val="333333"/>
                                <w:sz w:val="50"/>
                                <w:szCs w:val="50"/>
                              </w:rPr>
                            </w:pPr>
                            <w:r w:rsidRPr="00E5447D">
                              <w:rPr>
                                <w:rFonts w:ascii="Pill Gothic 600mg Bk" w:hAnsi="Pill Gothic 600mg Bk"/>
                                <w:color w:val="333333"/>
                                <w:sz w:val="50"/>
                                <w:szCs w:val="50"/>
                              </w:rPr>
                              <w:t xml:space="preserve">Groupe </w:t>
                            </w:r>
                            <w:r w:rsidR="00467CEA">
                              <w:rPr>
                                <w:rFonts w:ascii="Pill Gothic 600mg Bk" w:hAnsi="Pill Gothic 600mg Bk"/>
                                <w:color w:val="333333"/>
                                <w:sz w:val="50"/>
                                <w:szCs w:val="50"/>
                              </w:rPr>
                              <w:t>SAGESSE</w:t>
                            </w:r>
                            <w:r w:rsidRPr="00E5447D">
                              <w:rPr>
                                <w:rFonts w:ascii="Pill Gothic 600mg Bk" w:hAnsi="Pill Gothic 600mg Bk"/>
                                <w:color w:val="333333"/>
                                <w:sz w:val="50"/>
                                <w:szCs w:val="50"/>
                              </w:rPr>
                              <w:t xml:space="preserve"> (Notation GEN0)</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1EA382" id="_x0000_t202" coordsize="21600,21600" o:spt="202" path="m,l,21600r21600,l21600,xe">
                <v:stroke joinstyle="miter"/>
                <v:path gradientshapeok="t" o:connecttype="rect"/>
              </v:shapetype>
              <v:shape id="Zone de texte 2" o:spid="_x0000_s1027" type="#_x0000_t202" style="position:absolute;margin-left:0;margin-top:12.25pt;width:594.15pt;height:74.25pt;z-index:25165926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" filled="f" stroked="f">
                <v:textbox>
                  <w:txbxContent>
                    <w:p w14:paraId="700DD863" w14:textId="77777777" w:rsidR="00E5447D" w:rsidRDefault="00E5447D" w:rsidP="00E5447D">
                      <w:pPr>
                        <w:spacing w:after="120"/>
                        <w:rPr>
                          <w:rFonts w:ascii="Pill Gothic 600mg Bk" w:hAnsi="Pill Gothic 600mg Bk"/>
                          <w:color w:val="333333"/>
                          <w:sz w:val="50"/>
                          <w:szCs w:val="50"/>
                        </w:rPr>
                      </w:pPr>
                      <w:r w:rsidRPr="00E5447D">
                        <w:rPr>
                          <w:rFonts w:ascii="Pill Gothic 600mg Bk" w:hAnsi="Pill Gothic 600mg Bk"/>
                          <w:color w:val="333333"/>
                          <w:sz w:val="50"/>
                          <w:szCs w:val="50"/>
                        </w:rPr>
                        <w:t>Couverture Macro-</w:t>
                      </w:r>
                      <w:proofErr w:type="spellStart"/>
                      <w:r w:rsidRPr="00E5447D">
                        <w:rPr>
                          <w:rFonts w:ascii="Pill Gothic 600mg Bk" w:hAnsi="Pill Gothic 600mg Bk"/>
                          <w:color w:val="333333"/>
                          <w:sz w:val="50"/>
                          <w:szCs w:val="50"/>
                        </w:rPr>
                        <w:t>Hedge</w:t>
                      </w:r>
                      <w:proofErr w:type="spellEnd"/>
                      <w:r w:rsidRPr="00E5447D">
                        <w:rPr>
                          <w:rFonts w:ascii="Pill Gothic 600mg Bk" w:hAnsi="Pill Gothic 600mg Bk"/>
                          <w:color w:val="333333"/>
                          <w:sz w:val="50"/>
                          <w:szCs w:val="50"/>
                        </w:rPr>
                        <w:t xml:space="preserve"> sous IFRS 9 </w:t>
                      </w:r>
                    </w:p>
                    <w:p w14:paraId="2FE66DBD" w14:textId="2B3EC454" w:rsidR="00A37FC4" w:rsidRPr="00443189" w:rsidRDefault="00E5447D" w:rsidP="00E5447D">
                      <w:pPr>
                        <w:spacing w:after="120"/>
                        <w:rPr>
                          <w:rFonts w:ascii="Pill Gothic 600mg Bk" w:hAnsi="Pill Gothic 600mg Bk"/>
                          <w:color w:val="333333"/>
                          <w:sz w:val="50"/>
                          <w:szCs w:val="50"/>
                        </w:rPr>
                      </w:pPr>
                      <w:r w:rsidRPr="00E5447D">
                        <w:rPr>
                          <w:rFonts w:ascii="Pill Gothic 600mg Bk" w:hAnsi="Pill Gothic 600mg Bk"/>
                          <w:color w:val="333333"/>
                          <w:sz w:val="50"/>
                          <w:szCs w:val="50"/>
                        </w:rPr>
                        <w:t xml:space="preserve">Groupe </w:t>
                      </w:r>
                      <w:r w:rsidR="00467CEA">
                        <w:rPr>
                          <w:rFonts w:ascii="Pill Gothic 600mg Bk" w:hAnsi="Pill Gothic 600mg Bk"/>
                          <w:color w:val="333333"/>
                          <w:sz w:val="50"/>
                          <w:szCs w:val="50"/>
                        </w:rPr>
                        <w:t>SAGESSE</w:t>
                      </w:r>
                      <w:r w:rsidRPr="00E5447D">
                        <w:rPr>
                          <w:rFonts w:ascii="Pill Gothic 600mg Bk" w:hAnsi="Pill Gothic 600mg Bk"/>
                          <w:color w:val="333333"/>
                          <w:sz w:val="50"/>
                          <w:szCs w:val="50"/>
                        </w:rPr>
                        <w:t xml:space="preserve"> (Notation GEN0)</w:t>
                      </w:r>
                    </w:p>
                  </w:txbxContent>
                </v:textbox>
                <w10:wrap anchorx="margin"/>
              </v:shape>
            </w:pict>
          </mc:Fallback>
        </mc:AlternateContent>
      </w:r>
    </w:p>
    <w:p w14:paraId="3305CC6D" w14:textId="3BF2679C" w:rsidR="00F66947" w:rsidRDefault="00F66947" w:rsidP="00FA383C">
      <w:pPr>
        <w:rPr>
          <w:rFonts w:ascii="Hanken Grotesk" w:hAnsi="Hanken Grotesk"/>
          <w:color w:val="333333"/>
          <w:sz w:val="28"/>
          <w:szCs w:val="28"/>
        </w:rPr>
      </w:pPr>
    </w:p>
    <w:p w14:paraId="267D1E55" w14:textId="682B233E" w:rsidR="00F66947" w:rsidRDefault="00F66947" w:rsidP="00FA383C">
      <w:pPr>
        <w:rPr>
          <w:rFonts w:ascii="Hanken Grotesk" w:hAnsi="Hanken Grotesk"/>
          <w:color w:val="333333"/>
          <w:sz w:val="28"/>
          <w:szCs w:val="28"/>
        </w:rPr>
      </w:pPr>
    </w:p>
    <w:p w14:paraId="799C4028" w14:textId="57613D03" w:rsidR="00F66947" w:rsidRDefault="00F66947" w:rsidP="00822D57">
      <w:pPr>
        <w:shd w:val="clear" w:color="auto" w:fill="FFFFFF"/>
        <w:spacing w:before="40" w:after="0"/>
        <w:rPr>
          <w:rFonts w:ascii="Open Sans" w:hAnsi="Open Sans" w:cs="Open Sans"/>
          <w:color w:val="4B4B4B"/>
          <w:lang w:val="fr-CH"/>
        </w:rPr>
      </w:pPr>
      <w:bookmarkStart w:id="0" w:name="_Hlk147386292"/>
    </w:p>
    <w:p w14:paraId="3F80948A" w14:textId="47F6C34D" w:rsidR="00021251" w:rsidRDefault="00021251" w:rsidP="00B17C73">
      <w:pPr>
        <w:shd w:val="clear" w:color="auto" w:fill="FFFFFF"/>
        <w:tabs>
          <w:tab w:val="left" w:pos="7620"/>
        </w:tabs>
        <w:spacing w:before="40" w:after="0"/>
        <w:rPr>
          <w:rFonts w:ascii="Open Sans" w:hAnsi="Open Sans" w:cs="Open Sans"/>
          <w:color w:val="4B4B4B"/>
          <w:lang w:val="fr-CH"/>
        </w:rPr>
      </w:pPr>
      <w:r>
        <w:rPr>
          <w:rFonts w:ascii="Hanken Grotesk" w:hAnsi="Hanken Grotesk"/>
          <w:noProof/>
          <w:color w:val="333333"/>
          <w:sz w:val="52"/>
          <w:szCs w:val="52"/>
        </w:rPr>
        <mc:AlternateContent>
          <mc:Choice Requires="wps">
            <w:drawing>
              <wp:anchor distT="0" distB="0" distL="114300" distR="114300" simplePos="0" relativeHeight="251660288" behindDoc="0" locked="0" layoutInCell="1" allowOverlap="1" wp14:anchorId="14346137" wp14:editId="474F54CA">
                <wp:simplePos x="0" y="0"/>
                <wp:positionH relativeFrom="margin">
                  <wp:posOffset>37465</wp:posOffset>
                </wp:positionH>
                <wp:positionV relativeFrom="paragraph">
                  <wp:posOffset>17307</wp:posOffset>
                </wp:positionV>
                <wp:extent cx="2498725" cy="0"/>
                <wp:effectExtent l="19050" t="19050" r="34925" b="19050"/>
                <wp:wrapNone/>
                <wp:docPr id="926667649" name="Connecteur droit 1"/>
                <wp:cNvGraphicFramePr/>
                <a:graphic xmlns:a="http://schemas.openxmlformats.org/drawingml/2006/main">
                  <a:graphicData uri="http://schemas.microsoft.com/office/word/2010/wordprocessingShape">
                    <wps:wsp>
                      <wps:cNvCnPr/>
                      <wps:spPr>
                        <a:xfrm>
                          <a:off x="0" y="0"/>
                          <a:ext cx="2498725" cy="0"/>
                        </a:xfrm>
                        <a:prstGeom prst="line">
                          <a:avLst/>
                        </a:prstGeom>
                        <a:ln w="28575" cap="rnd">
                          <a:solidFill>
                            <a:schemeClr val="accent3"/>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F2D02"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1.35pt" to="199.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" strokecolor="#e58b39 [3206]" strokeweight="2.25pt">
                <v:stroke joinstyle="miter" endcap="round"/>
                <w10:wrap anchorx="margin"/>
              </v:line>
            </w:pict>
          </mc:Fallback>
        </mc:AlternateContent>
      </w:r>
      <w:r w:rsidR="00B17C73">
        <w:rPr>
          <w:rFonts w:ascii="Open Sans" w:hAnsi="Open Sans" w:cs="Open Sans"/>
          <w:color w:val="4B4B4B"/>
          <w:lang w:val="fr-CH"/>
        </w:rPr>
        <w:tab/>
      </w:r>
    </w:p>
    <w:p w14:paraId="39C117CA" w14:textId="77777777" w:rsidR="008F2A07" w:rsidRPr="00E43B6A" w:rsidRDefault="008F2A07" w:rsidP="00822D57">
      <w:pPr>
        <w:shd w:val="clear" w:color="auto" w:fill="FFFFFF"/>
        <w:spacing w:before="40" w:after="0"/>
        <w:rPr>
          <w:rFonts w:ascii="Open Sans" w:hAnsi="Open Sans" w:cs="Open Sans"/>
          <w:color w:val="FF0000"/>
          <w:lang w:val="fr-CH"/>
        </w:rPr>
      </w:pPr>
    </w:p>
    <w:bookmarkEnd w:id="0"/>
    <w:p w14:paraId="44B67FA9" w14:textId="648293BA" w:rsidR="00E5447D" w:rsidRPr="00E5447D" w:rsidRDefault="00E5447D" w:rsidP="00E5447D">
      <w:pPr>
        <w:shd w:val="clear" w:color="auto" w:fill="FFFFFF"/>
        <w:spacing w:before="40" w:after="0"/>
        <w:contextualSpacing/>
        <w:jc w:val="both"/>
        <w:rPr>
          <w:rFonts w:ascii="Open Sans" w:hAnsi="Open Sans" w:cs="Open Sans"/>
          <w:color w:val="4B4B4B"/>
          <w:lang w:val="fr-CH"/>
        </w:rPr>
      </w:pPr>
    </w:p>
    <w:p w14:paraId="284C478B" w14:textId="77777777" w:rsidR="00E5447D" w:rsidRPr="00CA2E61" w:rsidRDefault="00E5447D" w:rsidP="00E5447D">
      <w:pPr>
        <w:pStyle w:val="Titre1"/>
        <w:rPr>
          <w:rFonts w:ascii="Open Sans" w:hAnsi="Open Sans" w:cs="Open Sans"/>
          <w:lang w:val="fr-CH"/>
        </w:rPr>
      </w:pPr>
      <w:r w:rsidRPr="00E5447D">
        <w:rPr>
          <w:lang w:val="fr-CH"/>
        </w:rPr>
        <w:t>1</w:t>
      </w:r>
      <w:r w:rsidRPr="00CA2E61">
        <w:rPr>
          <w:rFonts w:ascii="Open Sans" w:hAnsi="Open Sans" w:cs="Open Sans"/>
          <w:lang w:val="fr-CH"/>
        </w:rPr>
        <w:t>. Introduction</w:t>
      </w:r>
    </w:p>
    <w:p w14:paraId="11616E79" w14:textId="7E4D25E3"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Dans le cadre de sa gestion des risques financiers, le groupe </w:t>
      </w:r>
      <w:r w:rsidR="00467CEA">
        <w:rPr>
          <w:rFonts w:ascii="Open Sans" w:hAnsi="Open Sans" w:cs="Open Sans"/>
          <w:color w:val="4B4B4B"/>
          <w:lang w:val="fr-CH"/>
        </w:rPr>
        <w:t>SAGESSE</w:t>
      </w:r>
      <w:r w:rsidRPr="00CA2E61">
        <w:rPr>
          <w:rFonts w:ascii="Open Sans" w:hAnsi="Open Sans" w:cs="Open Sans"/>
          <w:color w:val="4B4B4B"/>
          <w:lang w:val="fr-CH"/>
        </w:rPr>
        <w:t xml:space="preserve"> a mis en place une stratégie de couverture macro afin de réduire son exposition aux fluctuations des taux d’intérêt. Cette approche s’inscrit dans les dispositions de IFRS 9 – Instruments Financiers, qui encadre la comptabilité de couverture et définit les critères de reconnaissance et d’évaluation des relations de couverture.</w:t>
      </w:r>
    </w:p>
    <w:p w14:paraId="4547A743"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p>
    <w:p w14:paraId="61D7DCAA"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La présente documentation vise à :</w:t>
      </w:r>
    </w:p>
    <w:p w14:paraId="31395541" w14:textId="77777777" w:rsidR="00E5447D" w:rsidRPr="00CA2E61" w:rsidRDefault="00E5447D" w:rsidP="00E5447D">
      <w:pPr>
        <w:pStyle w:val="Paragraphedeliste"/>
        <w:numPr>
          <w:ilvl w:val="0"/>
          <w:numId w:val="6"/>
        </w:numPr>
        <w:shd w:val="clear" w:color="auto" w:fill="FFFFFF"/>
        <w:spacing w:before="40"/>
        <w:contextualSpacing/>
        <w:jc w:val="both"/>
        <w:rPr>
          <w:rFonts w:ascii="Open Sans" w:hAnsi="Open Sans" w:cs="Open Sans"/>
          <w:color w:val="4B4B4B"/>
          <w:lang w:val="fr-CH"/>
        </w:rPr>
      </w:pPr>
      <w:r w:rsidRPr="00CA2E61">
        <w:rPr>
          <w:rFonts w:ascii="Open Sans" w:hAnsi="Open Sans" w:cs="Open Sans"/>
          <w:color w:val="4B4B4B"/>
          <w:lang w:val="fr-CH"/>
        </w:rPr>
        <w:t>Justifier la relation de couverture macro mise en place par le groupe, identifiée sous la notation interne GEN0.</w:t>
      </w:r>
    </w:p>
    <w:p w14:paraId="7F885CE0" w14:textId="77777777" w:rsidR="00E5447D" w:rsidRPr="00CA2E61" w:rsidRDefault="00E5447D" w:rsidP="00E5447D">
      <w:pPr>
        <w:pStyle w:val="Paragraphedeliste"/>
        <w:numPr>
          <w:ilvl w:val="0"/>
          <w:numId w:val="6"/>
        </w:numPr>
        <w:shd w:val="clear" w:color="auto" w:fill="FFFFFF"/>
        <w:spacing w:before="40"/>
        <w:contextualSpacing/>
        <w:jc w:val="both"/>
        <w:rPr>
          <w:rFonts w:ascii="Open Sans" w:hAnsi="Open Sans" w:cs="Open Sans"/>
          <w:color w:val="4B4B4B"/>
          <w:lang w:val="fr-CH"/>
        </w:rPr>
      </w:pPr>
      <w:r w:rsidRPr="00CA2E61">
        <w:rPr>
          <w:rFonts w:ascii="Open Sans" w:hAnsi="Open Sans" w:cs="Open Sans"/>
          <w:color w:val="4B4B4B"/>
          <w:lang w:val="fr-CH"/>
        </w:rPr>
        <w:t>Démontrer la conformité de cette stratégie avec les exigences du référentiel IFRS 9, notamment en matière de qualification de couverture.</w:t>
      </w:r>
    </w:p>
    <w:p w14:paraId="2D5FFB68" w14:textId="77777777" w:rsidR="00E5447D" w:rsidRPr="00CA2E61" w:rsidRDefault="00E5447D" w:rsidP="00E5447D">
      <w:pPr>
        <w:pStyle w:val="Paragraphedeliste"/>
        <w:numPr>
          <w:ilvl w:val="0"/>
          <w:numId w:val="6"/>
        </w:numPr>
        <w:shd w:val="clear" w:color="auto" w:fill="FFFFFF"/>
        <w:spacing w:before="40"/>
        <w:contextualSpacing/>
        <w:jc w:val="both"/>
        <w:rPr>
          <w:rFonts w:ascii="Open Sans" w:hAnsi="Open Sans" w:cs="Open Sans"/>
          <w:color w:val="4B4B4B"/>
          <w:lang w:val="fr-CH"/>
        </w:rPr>
      </w:pPr>
      <w:r w:rsidRPr="00CA2E61">
        <w:rPr>
          <w:rFonts w:ascii="Open Sans" w:hAnsi="Open Sans" w:cs="Open Sans"/>
          <w:color w:val="4B4B4B"/>
          <w:lang w:val="fr-CH"/>
        </w:rPr>
        <w:t>Présenter les éléments couverts et couvrants, ainsi que la méthodologie retenue pour évaluer l’efficacité de la couverture.</w:t>
      </w:r>
    </w:p>
    <w:p w14:paraId="0F8D7A08" w14:textId="77777777" w:rsidR="00E5447D" w:rsidRPr="00CA2E61" w:rsidRDefault="00E5447D" w:rsidP="00E5447D">
      <w:pPr>
        <w:shd w:val="clear" w:color="auto" w:fill="FFFFFF"/>
        <w:spacing w:before="40"/>
        <w:contextualSpacing/>
        <w:jc w:val="both"/>
        <w:rPr>
          <w:rFonts w:ascii="Open Sans" w:hAnsi="Open Sans" w:cs="Open Sans"/>
          <w:color w:val="4B4B4B"/>
          <w:lang w:val="fr-CH"/>
        </w:rPr>
      </w:pPr>
    </w:p>
    <w:p w14:paraId="3EEBD0D0" w14:textId="05ACBB6A" w:rsidR="00E5447D" w:rsidRPr="00CA2E61" w:rsidRDefault="00E5447D" w:rsidP="00E5447D">
      <w:pPr>
        <w:pStyle w:val="Titre1"/>
        <w:rPr>
          <w:rFonts w:ascii="Open Sans" w:hAnsi="Open Sans" w:cs="Open Sans"/>
          <w:lang w:val="fr-CH"/>
        </w:rPr>
      </w:pPr>
      <w:r w:rsidRPr="00CA2E61">
        <w:rPr>
          <w:rFonts w:ascii="Open Sans" w:hAnsi="Open Sans" w:cs="Open Sans"/>
          <w:lang w:val="fr-CH"/>
        </w:rPr>
        <w:t xml:space="preserve">2. Présentation de la </w:t>
      </w:r>
      <w:r w:rsidR="00B96F99">
        <w:rPr>
          <w:rFonts w:ascii="Open Sans" w:hAnsi="Open Sans" w:cs="Open Sans"/>
          <w:lang w:val="fr-CH"/>
        </w:rPr>
        <w:t>s</w:t>
      </w:r>
      <w:r w:rsidRPr="00CA2E61">
        <w:rPr>
          <w:rFonts w:ascii="Open Sans" w:hAnsi="Open Sans" w:cs="Open Sans"/>
          <w:lang w:val="fr-CH"/>
        </w:rPr>
        <w:t xml:space="preserve">tratégie de </w:t>
      </w:r>
      <w:r w:rsidR="00B96F99">
        <w:rPr>
          <w:rFonts w:ascii="Open Sans" w:hAnsi="Open Sans" w:cs="Open Sans"/>
          <w:lang w:val="fr-CH"/>
        </w:rPr>
        <w:t>c</w:t>
      </w:r>
      <w:r w:rsidRPr="00CA2E61">
        <w:rPr>
          <w:rFonts w:ascii="Open Sans" w:hAnsi="Open Sans" w:cs="Open Sans"/>
          <w:lang w:val="fr-CH"/>
        </w:rPr>
        <w:t xml:space="preserve">ouverture </w:t>
      </w:r>
      <w:r w:rsidR="00B96F99">
        <w:rPr>
          <w:rFonts w:ascii="Open Sans" w:hAnsi="Open Sans" w:cs="Open Sans"/>
          <w:lang w:val="fr-CH"/>
        </w:rPr>
        <w:t>m</w:t>
      </w:r>
      <w:r w:rsidRPr="00CA2E61">
        <w:rPr>
          <w:rFonts w:ascii="Open Sans" w:hAnsi="Open Sans" w:cs="Open Sans"/>
          <w:lang w:val="fr-CH"/>
        </w:rPr>
        <w:t>acro-</w:t>
      </w:r>
      <w:proofErr w:type="spellStart"/>
      <w:r w:rsidR="00B96F99">
        <w:rPr>
          <w:rFonts w:ascii="Open Sans" w:hAnsi="Open Sans" w:cs="Open Sans"/>
          <w:lang w:val="fr-CH"/>
        </w:rPr>
        <w:t>h</w:t>
      </w:r>
      <w:r w:rsidRPr="00CA2E61">
        <w:rPr>
          <w:rFonts w:ascii="Open Sans" w:hAnsi="Open Sans" w:cs="Open Sans"/>
          <w:lang w:val="fr-CH"/>
        </w:rPr>
        <w:t>edge</w:t>
      </w:r>
      <w:proofErr w:type="spellEnd"/>
    </w:p>
    <w:p w14:paraId="6BE0AAFD" w14:textId="3ED1E14E" w:rsidR="00E5447D" w:rsidRPr="005D2CCF" w:rsidRDefault="00E5447D" w:rsidP="005D2CCF">
      <w:pPr>
        <w:shd w:val="clear" w:color="auto" w:fill="FFFFFF"/>
        <w:spacing w:before="40"/>
        <w:contextualSpacing/>
        <w:jc w:val="both"/>
        <w:rPr>
          <w:rFonts w:ascii="Open Sans" w:hAnsi="Open Sans" w:cs="Open Sans"/>
          <w:b/>
          <w:bCs/>
          <w:color w:val="4B4B4B"/>
          <w:lang w:val="fr-CH"/>
        </w:rPr>
      </w:pPr>
      <w:r w:rsidRPr="00CA2E61">
        <w:rPr>
          <w:rFonts w:ascii="Open Sans" w:hAnsi="Open Sans" w:cs="Open Sans"/>
          <w:color w:val="4B4B4B"/>
          <w:lang w:val="fr-CH"/>
        </w:rPr>
        <w:t xml:space="preserve">La couverture macro mise en place par le groupe </w:t>
      </w:r>
      <w:r w:rsidR="00467CEA">
        <w:rPr>
          <w:rFonts w:ascii="Open Sans" w:hAnsi="Open Sans" w:cs="Open Sans"/>
          <w:color w:val="4B4B4B"/>
          <w:lang w:val="fr-CH"/>
        </w:rPr>
        <w:t>SAGESSE</w:t>
      </w:r>
      <w:r w:rsidRPr="00CA2E61">
        <w:rPr>
          <w:rFonts w:ascii="Open Sans" w:hAnsi="Open Sans" w:cs="Open Sans"/>
          <w:color w:val="4B4B4B"/>
          <w:lang w:val="fr-CH"/>
        </w:rPr>
        <w:t xml:space="preserve"> vise à réduire l’exposition aux variations des taux d’intérêt sur les dettes référencées sous GEN0. Ces dettes incluent des financements à taux variable indexés sur l'Euribor 3 mois (EURIBOR 3M)</w:t>
      </w:r>
      <w:r w:rsidR="005D2CCF">
        <w:rPr>
          <w:rFonts w:ascii="Open Sans" w:hAnsi="Open Sans" w:cs="Open Sans"/>
          <w:b/>
          <w:bCs/>
          <w:color w:val="4B4B4B"/>
          <w:lang w:val="fr-CH"/>
        </w:rPr>
        <w:t>.</w:t>
      </w:r>
    </w:p>
    <w:p w14:paraId="250C8D65"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lastRenderedPageBreak/>
        <w:t>L’objectif principal est d’assurer une stabilité des charges financières et de limiter l’impact des fluctuations des taux d’intérêt sur le résultat financier consolidé du groupe.</w:t>
      </w:r>
    </w:p>
    <w:p w14:paraId="2BE24670" w14:textId="6BC14906" w:rsidR="002664B1" w:rsidRPr="00CA2E61" w:rsidRDefault="002664B1" w:rsidP="002664B1">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Dans le cadre de la gestion de son exposition aux taux d’intérêt, le groupe </w:t>
      </w:r>
      <w:r w:rsidR="00467CEA">
        <w:rPr>
          <w:rFonts w:ascii="Open Sans" w:hAnsi="Open Sans" w:cs="Open Sans"/>
          <w:color w:val="4B4B4B"/>
          <w:lang w:val="fr-CH"/>
        </w:rPr>
        <w:t>SAGESSE</w:t>
      </w:r>
      <w:r w:rsidRPr="00CA2E61">
        <w:rPr>
          <w:rFonts w:ascii="Open Sans" w:hAnsi="Open Sans" w:cs="Open Sans"/>
          <w:color w:val="4B4B4B"/>
          <w:lang w:val="fr-CH"/>
        </w:rPr>
        <w:t xml:space="preserve"> a mis en place une stratégie de macro-</w:t>
      </w:r>
      <w:proofErr w:type="spellStart"/>
      <w:r w:rsidRPr="00CA2E61">
        <w:rPr>
          <w:rFonts w:ascii="Open Sans" w:hAnsi="Open Sans" w:cs="Open Sans"/>
          <w:color w:val="4B4B4B"/>
          <w:lang w:val="fr-CH"/>
        </w:rPr>
        <w:t>hedging</w:t>
      </w:r>
      <w:proofErr w:type="spellEnd"/>
      <w:r w:rsidRPr="00CA2E61">
        <w:rPr>
          <w:rFonts w:ascii="Open Sans" w:hAnsi="Open Sans" w:cs="Open Sans"/>
          <w:color w:val="4B4B4B"/>
          <w:lang w:val="fr-CH"/>
        </w:rPr>
        <w:t xml:space="preserve"> visant à protéger ses flux de trésorerie contre la variabilité des taux. Cette approche est particulièrement justifiée dans un environnement où le financement du groupe repose sur un stock pouvant varier de dettes</w:t>
      </w:r>
      <w:r w:rsidR="00D62AFA" w:rsidRPr="00CA2E61">
        <w:rPr>
          <w:rFonts w:ascii="Open Sans" w:hAnsi="Open Sans" w:cs="Open Sans"/>
          <w:color w:val="4B4B4B"/>
          <w:lang w:val="fr-CH"/>
        </w:rPr>
        <w:t xml:space="preserve"> et tranches</w:t>
      </w:r>
      <w:r w:rsidRPr="00CA2E61">
        <w:rPr>
          <w:rFonts w:ascii="Open Sans" w:hAnsi="Open Sans" w:cs="Open Sans"/>
          <w:color w:val="4B4B4B"/>
          <w:lang w:val="fr-CH"/>
        </w:rPr>
        <w:t xml:space="preserve"> à taux variable indexées sur EURIBOR 3M.</w:t>
      </w:r>
    </w:p>
    <w:p w14:paraId="22B506A3" w14:textId="77777777" w:rsidR="002664B1" w:rsidRPr="00CA2E61" w:rsidRDefault="002664B1" w:rsidP="002664B1">
      <w:pPr>
        <w:shd w:val="clear" w:color="auto" w:fill="FFFFFF"/>
        <w:spacing w:before="40" w:after="0"/>
        <w:contextualSpacing/>
        <w:jc w:val="both"/>
        <w:rPr>
          <w:rFonts w:ascii="Open Sans" w:hAnsi="Open Sans" w:cs="Open Sans"/>
          <w:color w:val="4B4B4B"/>
          <w:lang w:val="fr-CH"/>
        </w:rPr>
      </w:pPr>
    </w:p>
    <w:p w14:paraId="3FEA8F9A" w14:textId="15CC6DCA" w:rsidR="002664B1" w:rsidRPr="00CA2E61" w:rsidRDefault="002664B1" w:rsidP="002664B1">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La méthodologie retenue est alignée avec les principes du macro-</w:t>
      </w:r>
      <w:proofErr w:type="spellStart"/>
      <w:r w:rsidRPr="00CA2E61">
        <w:rPr>
          <w:rFonts w:ascii="Open Sans" w:hAnsi="Open Sans" w:cs="Open Sans"/>
          <w:color w:val="4B4B4B"/>
          <w:lang w:val="fr-CH"/>
        </w:rPr>
        <w:t>hedging</w:t>
      </w:r>
      <w:proofErr w:type="spellEnd"/>
      <w:r w:rsidRPr="00CA2E61">
        <w:rPr>
          <w:rFonts w:ascii="Open Sans" w:hAnsi="Open Sans" w:cs="Open Sans"/>
          <w:color w:val="4B4B4B"/>
          <w:lang w:val="fr-CH"/>
        </w:rPr>
        <w:t xml:space="preserve"> défini par IFRS 9, qui permet de couvrir un portefeuille dynamique d’éléments financiers présentant des caractéristiques homogènes, plutôt qu’un seul élément statique.</w:t>
      </w:r>
    </w:p>
    <w:p w14:paraId="7FC496FF" w14:textId="77777777" w:rsidR="0026145F" w:rsidRPr="00CA2E61" w:rsidRDefault="0026145F" w:rsidP="00E5447D">
      <w:pPr>
        <w:shd w:val="clear" w:color="auto" w:fill="FFFFFF"/>
        <w:spacing w:before="40" w:after="0"/>
        <w:contextualSpacing/>
        <w:jc w:val="both"/>
        <w:rPr>
          <w:rFonts w:ascii="Open Sans" w:hAnsi="Open Sans" w:cs="Open Sans"/>
          <w:color w:val="4B4B4B"/>
          <w:lang w:val="fr-CH"/>
        </w:rPr>
      </w:pPr>
    </w:p>
    <w:p w14:paraId="6D991B4E" w14:textId="06CC4560" w:rsidR="00E5447D" w:rsidRPr="00CA2E61" w:rsidRDefault="00E5447D" w:rsidP="00E5447D">
      <w:pPr>
        <w:pStyle w:val="Titre1"/>
        <w:rPr>
          <w:rFonts w:ascii="Open Sans" w:hAnsi="Open Sans" w:cs="Open Sans"/>
          <w:lang w:val="fr-CH"/>
        </w:rPr>
      </w:pPr>
      <w:r w:rsidRPr="00CA2E61">
        <w:rPr>
          <w:rFonts w:ascii="Open Sans" w:hAnsi="Open Sans" w:cs="Open Sans"/>
          <w:lang w:val="fr-CH"/>
        </w:rPr>
        <w:t xml:space="preserve">3. Instruments de </w:t>
      </w:r>
      <w:r w:rsidR="00B96F99">
        <w:rPr>
          <w:rFonts w:ascii="Open Sans" w:hAnsi="Open Sans" w:cs="Open Sans"/>
          <w:lang w:val="fr-CH"/>
        </w:rPr>
        <w:t>c</w:t>
      </w:r>
      <w:r w:rsidRPr="00CA2E61">
        <w:rPr>
          <w:rFonts w:ascii="Open Sans" w:hAnsi="Open Sans" w:cs="Open Sans"/>
          <w:lang w:val="fr-CH"/>
        </w:rPr>
        <w:t xml:space="preserve">ouverture </w:t>
      </w:r>
      <w:r w:rsidR="00B96F99">
        <w:rPr>
          <w:rFonts w:ascii="Open Sans" w:hAnsi="Open Sans" w:cs="Open Sans"/>
          <w:lang w:val="fr-CH"/>
        </w:rPr>
        <w:t>u</w:t>
      </w:r>
      <w:r w:rsidRPr="00CA2E61">
        <w:rPr>
          <w:rFonts w:ascii="Open Sans" w:hAnsi="Open Sans" w:cs="Open Sans"/>
          <w:lang w:val="fr-CH"/>
        </w:rPr>
        <w:t>tilisés</w:t>
      </w:r>
    </w:p>
    <w:p w14:paraId="25B96158" w14:textId="76326B65"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Dans le cadre de cette stratégie, le groupe utilise principalement :</w:t>
      </w:r>
    </w:p>
    <w:p w14:paraId="53D836EC" w14:textId="0AB55C00" w:rsidR="00E5447D"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Des caps de taux d’intérêts dans la monnaie avec des niveaux de protection entre 0</w:t>
      </w:r>
      <w:r w:rsidR="000B19DA">
        <w:rPr>
          <w:rFonts w:ascii="Open Sans" w:hAnsi="Open Sans" w:cs="Open Sans"/>
          <w:color w:val="4B4B4B"/>
          <w:lang w:val="fr-CH"/>
        </w:rPr>
        <w:t>.25</w:t>
      </w:r>
      <w:r w:rsidRPr="00CA2E61">
        <w:rPr>
          <w:rFonts w:ascii="Open Sans" w:hAnsi="Open Sans" w:cs="Open Sans"/>
          <w:color w:val="4B4B4B"/>
          <w:lang w:val="fr-CH"/>
        </w:rPr>
        <w:t xml:space="preserve">% et </w:t>
      </w:r>
      <w:r w:rsidR="000B19DA">
        <w:rPr>
          <w:rFonts w:ascii="Open Sans" w:hAnsi="Open Sans" w:cs="Open Sans"/>
          <w:color w:val="4B4B4B"/>
          <w:lang w:val="fr-CH"/>
        </w:rPr>
        <w:t>2</w:t>
      </w:r>
      <w:r w:rsidRPr="00CA2E61">
        <w:rPr>
          <w:rFonts w:ascii="Open Sans" w:hAnsi="Open Sans" w:cs="Open Sans"/>
          <w:color w:val="4B4B4B"/>
          <w:lang w:val="fr-CH"/>
        </w:rPr>
        <w:t>.50%</w:t>
      </w:r>
      <w:r w:rsidR="000B19DA">
        <w:rPr>
          <w:rFonts w:ascii="Open Sans" w:hAnsi="Open Sans" w:cs="Open Sans"/>
          <w:color w:val="4B4B4B"/>
          <w:lang w:val="fr-CH"/>
        </w:rPr>
        <w:t xml:space="preserve"> qui suivent l’</w:t>
      </w:r>
      <w:r w:rsidR="00236CC5">
        <w:rPr>
          <w:rFonts w:ascii="Open Sans" w:hAnsi="Open Sans" w:cs="Open Sans"/>
          <w:color w:val="4B4B4B"/>
          <w:lang w:val="fr-CH"/>
        </w:rPr>
        <w:t>évolution</w:t>
      </w:r>
      <w:r w:rsidR="000B19DA">
        <w:rPr>
          <w:rFonts w:ascii="Open Sans" w:hAnsi="Open Sans" w:cs="Open Sans"/>
          <w:color w:val="4B4B4B"/>
          <w:lang w:val="fr-CH"/>
        </w:rPr>
        <w:t xml:space="preserve"> des taux projetés</w:t>
      </w:r>
      <w:r w:rsidR="00236CC5">
        <w:rPr>
          <w:rFonts w:ascii="Open Sans" w:hAnsi="Open Sans" w:cs="Open Sans"/>
          <w:color w:val="4B4B4B"/>
          <w:lang w:val="fr-CH"/>
        </w:rPr>
        <w:t>.</w:t>
      </w:r>
    </w:p>
    <w:p w14:paraId="432676EA" w14:textId="77777777" w:rsidR="00236CC5" w:rsidRPr="00CA2E61" w:rsidRDefault="00236CC5" w:rsidP="00E5447D">
      <w:pPr>
        <w:shd w:val="clear" w:color="auto" w:fill="FFFFFF"/>
        <w:spacing w:before="40" w:after="0"/>
        <w:contextualSpacing/>
        <w:jc w:val="both"/>
        <w:rPr>
          <w:rFonts w:ascii="Open Sans" w:hAnsi="Open Sans" w:cs="Open Sans"/>
          <w:color w:val="4B4B4B"/>
          <w:lang w:val="fr-CH"/>
        </w:rPr>
      </w:pPr>
    </w:p>
    <w:p w14:paraId="28BFE04A"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Ces instruments dérivés sont désignés comme instruments de couverture conformément aux critères définis dans IFRS 9 – Comptabilité de couverture.</w:t>
      </w:r>
    </w:p>
    <w:p w14:paraId="640C4794" w14:textId="6D927AA8" w:rsidR="00E5447D" w:rsidRDefault="00E5447D" w:rsidP="00E5447D">
      <w:pPr>
        <w:pStyle w:val="Titre1"/>
        <w:rPr>
          <w:rFonts w:ascii="Open Sans" w:hAnsi="Open Sans" w:cs="Open Sans"/>
          <w:lang w:val="fr-CH"/>
        </w:rPr>
      </w:pPr>
      <w:r w:rsidRPr="00CA2E61">
        <w:rPr>
          <w:rFonts w:ascii="Open Sans" w:hAnsi="Open Sans" w:cs="Open Sans"/>
          <w:lang w:val="fr-CH"/>
        </w:rPr>
        <w:t xml:space="preserve">4. Identification des </w:t>
      </w:r>
      <w:r w:rsidR="00B96F99">
        <w:rPr>
          <w:rFonts w:ascii="Open Sans" w:hAnsi="Open Sans" w:cs="Open Sans"/>
          <w:lang w:val="fr-CH"/>
        </w:rPr>
        <w:t>é</w:t>
      </w:r>
      <w:r w:rsidRPr="00CA2E61">
        <w:rPr>
          <w:rFonts w:ascii="Open Sans" w:hAnsi="Open Sans" w:cs="Open Sans"/>
          <w:lang w:val="fr-CH"/>
        </w:rPr>
        <w:t xml:space="preserve">léments </w:t>
      </w:r>
      <w:r w:rsidR="00B96F99">
        <w:rPr>
          <w:rFonts w:ascii="Open Sans" w:hAnsi="Open Sans" w:cs="Open Sans"/>
          <w:lang w:val="fr-CH"/>
        </w:rPr>
        <w:t>c</w:t>
      </w:r>
      <w:r w:rsidRPr="00CA2E61">
        <w:rPr>
          <w:rFonts w:ascii="Open Sans" w:hAnsi="Open Sans" w:cs="Open Sans"/>
          <w:lang w:val="fr-CH"/>
        </w:rPr>
        <w:t xml:space="preserve">ouvert et </w:t>
      </w:r>
      <w:r w:rsidR="00B96F99">
        <w:rPr>
          <w:rFonts w:ascii="Open Sans" w:hAnsi="Open Sans" w:cs="Open Sans"/>
          <w:lang w:val="fr-CH"/>
        </w:rPr>
        <w:t>c</w:t>
      </w:r>
      <w:r w:rsidRPr="00CA2E61">
        <w:rPr>
          <w:rFonts w:ascii="Open Sans" w:hAnsi="Open Sans" w:cs="Open Sans"/>
          <w:lang w:val="fr-CH"/>
        </w:rPr>
        <w:t>ouvrant</w:t>
      </w:r>
    </w:p>
    <w:p w14:paraId="71A94110" w14:textId="77777777" w:rsidR="00CA2E61" w:rsidRPr="00CA2E61" w:rsidRDefault="00CA2E61" w:rsidP="00CA2E61">
      <w:pPr>
        <w:rPr>
          <w:lang w:val="fr-CH"/>
        </w:rPr>
      </w:pPr>
    </w:p>
    <w:p w14:paraId="4622EAA8" w14:textId="77777777" w:rsidR="00E5447D" w:rsidRDefault="00E5447D" w:rsidP="00E5447D">
      <w:pPr>
        <w:pStyle w:val="Titre3"/>
        <w:spacing w:line="240" w:lineRule="auto"/>
        <w:rPr>
          <w:rFonts w:ascii="Open Sans" w:hAnsi="Open Sans" w:cs="Open Sans"/>
          <w:lang w:val="fr-CH"/>
        </w:rPr>
      </w:pPr>
      <w:r w:rsidRPr="00CA2E61">
        <w:rPr>
          <w:rFonts w:ascii="Open Sans" w:hAnsi="Open Sans" w:cs="Open Sans"/>
          <w:lang w:val="fr-CH"/>
        </w:rPr>
        <w:t>4.1. Éléments couverts : Dettes sous notation “GEN0”</w:t>
      </w:r>
    </w:p>
    <w:p w14:paraId="260488DC" w14:textId="77777777" w:rsidR="00CA2E61" w:rsidRPr="00CA2E61" w:rsidRDefault="00CA2E61" w:rsidP="00CA2E61">
      <w:pPr>
        <w:rPr>
          <w:lang w:val="fr-CH"/>
        </w:rPr>
      </w:pPr>
    </w:p>
    <w:p w14:paraId="44910C78" w14:textId="615B248B" w:rsidR="00E5447D"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Les dettes concernées par cette couverture macro sont un ou des emprunts à taux variable indexés sur EURIBOR 3M. Ces financements sont principalement utilisés pour financer le développement et les opérations courantes du groupe.</w:t>
      </w:r>
    </w:p>
    <w:p w14:paraId="3E2E6F28" w14:textId="77777777" w:rsidR="00CA2E61" w:rsidRPr="00CA2E61" w:rsidRDefault="00CA2E61" w:rsidP="00E5447D">
      <w:pPr>
        <w:shd w:val="clear" w:color="auto" w:fill="FFFFFF"/>
        <w:spacing w:before="40" w:after="0"/>
        <w:contextualSpacing/>
        <w:jc w:val="both"/>
        <w:rPr>
          <w:rFonts w:ascii="Open Sans" w:hAnsi="Open Sans" w:cs="Open Sans"/>
          <w:color w:val="4B4B4B"/>
          <w:lang w:val="fr-CH"/>
        </w:rPr>
      </w:pPr>
    </w:p>
    <w:p w14:paraId="0B981E7B" w14:textId="77777777" w:rsidR="00E5447D" w:rsidRDefault="00E5447D" w:rsidP="00E5447D">
      <w:pPr>
        <w:pStyle w:val="Titre3"/>
        <w:spacing w:line="240" w:lineRule="auto"/>
        <w:rPr>
          <w:rFonts w:ascii="Open Sans" w:hAnsi="Open Sans" w:cs="Open Sans"/>
          <w:lang w:val="fr-CH"/>
        </w:rPr>
      </w:pPr>
      <w:r w:rsidRPr="00CA2E61">
        <w:rPr>
          <w:rFonts w:ascii="Open Sans" w:hAnsi="Open Sans" w:cs="Open Sans"/>
          <w:lang w:val="fr-CH"/>
        </w:rPr>
        <w:t>4.2. Éléments couvrants : Instruments dérivés associés</w:t>
      </w:r>
    </w:p>
    <w:p w14:paraId="0374B9C9" w14:textId="77777777" w:rsidR="00CA2E61" w:rsidRPr="00CA2E61" w:rsidRDefault="00CA2E61" w:rsidP="00CA2E61">
      <w:pPr>
        <w:rPr>
          <w:lang w:val="fr-CH"/>
        </w:rPr>
      </w:pPr>
    </w:p>
    <w:p w14:paraId="65D601B7" w14:textId="35ACC686"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Les instruments de couverture sont constitués d’instruments de couverture de taux d’intérêt simples, éligibles à la comptabilité de couverture </w:t>
      </w:r>
      <w:r w:rsidRPr="00236CC5">
        <w:rPr>
          <w:rFonts w:ascii="Open Sans" w:hAnsi="Open Sans" w:cs="Open Sans"/>
          <w:color w:val="4B4B4B"/>
          <w:lang w:val="fr-CH"/>
        </w:rPr>
        <w:t>qui plafonnent les taux variables</w:t>
      </w:r>
      <w:r w:rsidRPr="00CA2E61">
        <w:rPr>
          <w:rFonts w:ascii="Open Sans" w:hAnsi="Open Sans" w:cs="Open Sans"/>
          <w:color w:val="4B4B4B"/>
          <w:lang w:val="fr-CH"/>
        </w:rPr>
        <w:t>, réduisant ainsi l’incertitude financière.</w:t>
      </w:r>
    </w:p>
    <w:p w14:paraId="5E0CA9B0" w14:textId="0FB50B37" w:rsidR="00E5447D" w:rsidRPr="00CA2E61" w:rsidRDefault="00E5447D" w:rsidP="00E5447D">
      <w:pPr>
        <w:pStyle w:val="Titre1"/>
        <w:rPr>
          <w:rFonts w:ascii="Open Sans" w:hAnsi="Open Sans" w:cs="Open Sans"/>
          <w:lang w:val="fr-CH"/>
        </w:rPr>
      </w:pPr>
      <w:r w:rsidRPr="00CA2E61">
        <w:rPr>
          <w:rFonts w:ascii="Open Sans" w:hAnsi="Open Sans" w:cs="Open Sans"/>
          <w:lang w:val="fr-CH"/>
        </w:rPr>
        <w:lastRenderedPageBreak/>
        <w:t xml:space="preserve">5. Justification de la </w:t>
      </w:r>
      <w:r w:rsidR="00B96F99">
        <w:rPr>
          <w:rFonts w:ascii="Open Sans" w:hAnsi="Open Sans" w:cs="Open Sans"/>
          <w:lang w:val="fr-CH"/>
        </w:rPr>
        <w:t>r</w:t>
      </w:r>
      <w:r w:rsidRPr="00CA2E61">
        <w:rPr>
          <w:rFonts w:ascii="Open Sans" w:hAnsi="Open Sans" w:cs="Open Sans"/>
          <w:lang w:val="fr-CH"/>
        </w:rPr>
        <w:t xml:space="preserve">elation de </w:t>
      </w:r>
      <w:r w:rsidR="00B96F99">
        <w:rPr>
          <w:rFonts w:ascii="Open Sans" w:hAnsi="Open Sans" w:cs="Open Sans"/>
          <w:lang w:val="fr-CH"/>
        </w:rPr>
        <w:t>c</w:t>
      </w:r>
      <w:r w:rsidRPr="00CA2E61">
        <w:rPr>
          <w:rFonts w:ascii="Open Sans" w:hAnsi="Open Sans" w:cs="Open Sans"/>
          <w:lang w:val="fr-CH"/>
        </w:rPr>
        <w:t>ouverture sous IFRS 9</w:t>
      </w:r>
    </w:p>
    <w:p w14:paraId="1EE57097" w14:textId="77777777" w:rsidR="00FD780A" w:rsidRDefault="00FD780A" w:rsidP="00FD780A">
      <w:pPr>
        <w:rPr>
          <w:rFonts w:ascii="Open Sans" w:hAnsi="Open Sans" w:cs="Open Sans"/>
          <w:lang w:val="fr-CH"/>
        </w:rPr>
      </w:pPr>
    </w:p>
    <w:tbl>
      <w:tblPr>
        <w:tblStyle w:val="Grilledutableau"/>
        <w:tblW w:w="0" w:type="auto"/>
        <w:tblLook w:val="04A0" w:firstRow="1" w:lastRow="0" w:firstColumn="1" w:lastColumn="0" w:noHBand="0" w:noVBand="1"/>
      </w:tblPr>
      <w:tblGrid>
        <w:gridCol w:w="4252"/>
        <w:gridCol w:w="4242"/>
      </w:tblGrid>
      <w:tr w:rsidR="00FD780A" w:rsidRPr="00CA2E61" w14:paraId="76969044"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15245CE1"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en-US"/>
              </w:rPr>
            </w:pPr>
            <w:proofErr w:type="spellStart"/>
            <w:r w:rsidRPr="00CA2E61">
              <w:rPr>
                <w:rFonts w:ascii="Open Sans" w:hAnsi="Open Sans" w:cs="Open Sans"/>
                <w:color w:val="4B4B4B"/>
                <w:lang w:val="en-US"/>
              </w:rPr>
              <w:t>Critères</w:t>
            </w:r>
            <w:proofErr w:type="spellEnd"/>
            <w:r w:rsidRPr="00CA2E61">
              <w:rPr>
                <w:rFonts w:ascii="Open Sans" w:hAnsi="Open Sans" w:cs="Open Sans"/>
                <w:color w:val="4B4B4B"/>
                <w:lang w:val="en-US"/>
              </w:rPr>
              <w:t xml:space="preserve"> IFRS 9</w:t>
            </w:r>
          </w:p>
        </w:tc>
        <w:tc>
          <w:tcPr>
            <w:tcW w:w="4242" w:type="dxa"/>
            <w:tcBorders>
              <w:top w:val="single" w:sz="4" w:space="0" w:color="auto"/>
              <w:left w:val="single" w:sz="4" w:space="0" w:color="auto"/>
              <w:bottom w:val="single" w:sz="4" w:space="0" w:color="auto"/>
              <w:right w:val="single" w:sz="4" w:space="0" w:color="auto"/>
            </w:tcBorders>
            <w:hideMark/>
          </w:tcPr>
          <w:p w14:paraId="2F0BE680"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Application dans le cadre de GEN0</w:t>
            </w:r>
          </w:p>
        </w:tc>
      </w:tr>
      <w:tr w:rsidR="00FD780A" w:rsidRPr="00CA2E61" w14:paraId="3F24A2BF"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092983C2"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en-US"/>
              </w:rPr>
            </w:pPr>
            <w:r w:rsidRPr="00CA2E61">
              <w:rPr>
                <w:rFonts w:ascii="Open Sans" w:hAnsi="Open Sans" w:cs="Open Sans"/>
                <w:color w:val="4B4B4B"/>
                <w:lang w:val="en-US"/>
              </w:rPr>
              <w:t xml:space="preserve">Relation </w:t>
            </w:r>
            <w:proofErr w:type="spellStart"/>
            <w:r w:rsidRPr="00CA2E61">
              <w:rPr>
                <w:rFonts w:ascii="Open Sans" w:hAnsi="Open Sans" w:cs="Open Sans"/>
                <w:color w:val="4B4B4B"/>
                <w:lang w:val="en-US"/>
              </w:rPr>
              <w:t>économiquement</w:t>
            </w:r>
            <w:proofErr w:type="spellEnd"/>
            <w:r w:rsidRPr="00CA2E61">
              <w:rPr>
                <w:rFonts w:ascii="Open Sans" w:hAnsi="Open Sans" w:cs="Open Sans"/>
                <w:color w:val="4B4B4B"/>
                <w:lang w:val="en-US"/>
              </w:rPr>
              <w:t xml:space="preserve"> justifiable</w:t>
            </w:r>
          </w:p>
        </w:tc>
        <w:tc>
          <w:tcPr>
            <w:tcW w:w="4242" w:type="dxa"/>
            <w:tcBorders>
              <w:top w:val="single" w:sz="4" w:space="0" w:color="auto"/>
              <w:left w:val="single" w:sz="4" w:space="0" w:color="auto"/>
              <w:bottom w:val="single" w:sz="4" w:space="0" w:color="auto"/>
              <w:right w:val="single" w:sz="4" w:space="0" w:color="auto"/>
            </w:tcBorders>
            <w:hideMark/>
          </w:tcPr>
          <w:p w14:paraId="18B0511E"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La couverture vise à stabiliser les flux de trésorerie liés aux financements à taux variable référencés sous GEN0.</w:t>
            </w:r>
          </w:p>
        </w:tc>
      </w:tr>
      <w:tr w:rsidR="00FD780A" w:rsidRPr="00CA2E61" w14:paraId="1EF171C0"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7B8451B9"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Lien entre élément couvert et instrument de couverture</w:t>
            </w:r>
          </w:p>
        </w:tc>
        <w:tc>
          <w:tcPr>
            <w:tcW w:w="4242" w:type="dxa"/>
            <w:tcBorders>
              <w:top w:val="single" w:sz="4" w:space="0" w:color="auto"/>
              <w:left w:val="single" w:sz="4" w:space="0" w:color="auto"/>
              <w:bottom w:val="single" w:sz="4" w:space="0" w:color="auto"/>
              <w:right w:val="single" w:sz="4" w:space="0" w:color="auto"/>
            </w:tcBorders>
            <w:hideMark/>
          </w:tcPr>
          <w:p w14:paraId="1E402C55" w14:textId="730BBB7E" w:rsidR="00FD780A" w:rsidRPr="00CA2E61" w:rsidRDefault="00FD780A"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 xml:space="preserve">La dette et les couvertures référencées GEN0 (la </w:t>
            </w:r>
            <w:r w:rsidR="00140844" w:rsidRPr="00CA2E61">
              <w:rPr>
                <w:rFonts w:ascii="Open Sans" w:hAnsi="Open Sans" w:cs="Open Sans"/>
                <w:color w:val="4B4B4B"/>
                <w:lang w:val="fr-CH"/>
              </w:rPr>
              <w:t>référence</w:t>
            </w:r>
            <w:r w:rsidRPr="00CA2E61">
              <w:rPr>
                <w:rFonts w:ascii="Open Sans" w:hAnsi="Open Sans" w:cs="Open Sans"/>
                <w:color w:val="4B4B4B"/>
                <w:lang w:val="fr-CH"/>
              </w:rPr>
              <w:t xml:space="preserve"> commune du sous-jacent couvert et les instruments de couverture.)</w:t>
            </w:r>
          </w:p>
        </w:tc>
      </w:tr>
      <w:tr w:rsidR="00FD780A" w:rsidRPr="00CA2E61" w14:paraId="0E02FFFB"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2FA5A76C"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en-US"/>
              </w:rPr>
            </w:pPr>
            <w:r w:rsidRPr="00CA2E61">
              <w:rPr>
                <w:rFonts w:ascii="Open Sans" w:hAnsi="Open Sans" w:cs="Open Sans"/>
                <w:color w:val="4B4B4B"/>
                <w:lang w:val="en-US"/>
              </w:rPr>
              <w:t xml:space="preserve">Documentation </w:t>
            </w:r>
            <w:proofErr w:type="spellStart"/>
            <w:r w:rsidRPr="00CA2E61">
              <w:rPr>
                <w:rFonts w:ascii="Open Sans" w:hAnsi="Open Sans" w:cs="Open Sans"/>
                <w:color w:val="4B4B4B"/>
                <w:lang w:val="en-US"/>
              </w:rPr>
              <w:t>formelle</w:t>
            </w:r>
            <w:proofErr w:type="spellEnd"/>
          </w:p>
        </w:tc>
        <w:tc>
          <w:tcPr>
            <w:tcW w:w="4242" w:type="dxa"/>
            <w:tcBorders>
              <w:top w:val="single" w:sz="4" w:space="0" w:color="auto"/>
              <w:left w:val="single" w:sz="4" w:space="0" w:color="auto"/>
              <w:bottom w:val="single" w:sz="4" w:space="0" w:color="auto"/>
              <w:right w:val="single" w:sz="4" w:space="0" w:color="auto"/>
            </w:tcBorders>
            <w:hideMark/>
          </w:tcPr>
          <w:p w14:paraId="01149774" w14:textId="27EEAA52" w:rsidR="00FD780A" w:rsidRPr="00CA2E61" w:rsidRDefault="00291C9B"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rPr>
              <w:t xml:space="preserve">Ce document sert de documentation de référence pour la stratégie de couverture et sera mis à jour </w:t>
            </w:r>
            <w:r w:rsidR="00B96F99">
              <w:rPr>
                <w:rFonts w:ascii="Open Sans" w:hAnsi="Open Sans" w:cs="Open Sans"/>
                <w:color w:val="4B4B4B"/>
              </w:rPr>
              <w:t>annuellement</w:t>
            </w:r>
          </w:p>
        </w:tc>
      </w:tr>
      <w:tr w:rsidR="00FD780A" w:rsidRPr="00CA2E61" w14:paraId="4846D467"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2422F490"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en-US"/>
              </w:rPr>
            </w:pPr>
            <w:proofErr w:type="spellStart"/>
            <w:r w:rsidRPr="00CA2E61">
              <w:rPr>
                <w:rFonts w:ascii="Open Sans" w:hAnsi="Open Sans" w:cs="Open Sans"/>
                <w:color w:val="4B4B4B"/>
                <w:lang w:val="en-US"/>
              </w:rPr>
              <w:t>Efficacité</w:t>
            </w:r>
            <w:proofErr w:type="spellEnd"/>
            <w:r w:rsidRPr="00CA2E61">
              <w:rPr>
                <w:rFonts w:ascii="Open Sans" w:hAnsi="Open Sans" w:cs="Open Sans"/>
                <w:color w:val="4B4B4B"/>
                <w:lang w:val="en-US"/>
              </w:rPr>
              <w:t xml:space="preserve"> de la couverture</w:t>
            </w:r>
          </w:p>
        </w:tc>
        <w:tc>
          <w:tcPr>
            <w:tcW w:w="4242" w:type="dxa"/>
            <w:tcBorders>
              <w:top w:val="single" w:sz="4" w:space="0" w:color="auto"/>
              <w:left w:val="single" w:sz="4" w:space="0" w:color="auto"/>
              <w:bottom w:val="single" w:sz="4" w:space="0" w:color="auto"/>
              <w:right w:val="single" w:sz="4" w:space="0" w:color="auto"/>
            </w:tcBorders>
            <w:hideMark/>
          </w:tcPr>
          <w:p w14:paraId="6C0CF603"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Un test prospectif et rétrospectif mesure l’efficacité.</w:t>
            </w:r>
          </w:p>
        </w:tc>
      </w:tr>
      <w:tr w:rsidR="00FD780A" w:rsidRPr="00CA2E61" w14:paraId="062B8952" w14:textId="77777777" w:rsidTr="008C02B0">
        <w:tc>
          <w:tcPr>
            <w:tcW w:w="4252" w:type="dxa"/>
            <w:tcBorders>
              <w:top w:val="single" w:sz="4" w:space="0" w:color="auto"/>
              <w:left w:val="single" w:sz="4" w:space="0" w:color="auto"/>
              <w:bottom w:val="single" w:sz="4" w:space="0" w:color="auto"/>
              <w:right w:val="single" w:sz="4" w:space="0" w:color="auto"/>
            </w:tcBorders>
            <w:hideMark/>
          </w:tcPr>
          <w:p w14:paraId="604F46A9" w14:textId="77777777" w:rsidR="00FD780A" w:rsidRPr="00CA2E61" w:rsidRDefault="00FD780A" w:rsidP="008C02B0">
            <w:pPr>
              <w:shd w:val="clear" w:color="auto" w:fill="FFFFFF"/>
              <w:spacing w:before="40" w:line="259" w:lineRule="auto"/>
              <w:contextualSpacing/>
              <w:jc w:val="both"/>
              <w:rPr>
                <w:rFonts w:ascii="Open Sans" w:hAnsi="Open Sans" w:cs="Open Sans"/>
                <w:color w:val="4B4B4B"/>
                <w:lang w:val="en-US"/>
              </w:rPr>
            </w:pPr>
            <w:proofErr w:type="spellStart"/>
            <w:r w:rsidRPr="00CA2E61">
              <w:rPr>
                <w:rFonts w:ascii="Open Sans" w:hAnsi="Open Sans" w:cs="Open Sans"/>
                <w:color w:val="4B4B4B"/>
                <w:lang w:val="en-US"/>
              </w:rPr>
              <w:t>Méthode</w:t>
            </w:r>
            <w:proofErr w:type="spellEnd"/>
            <w:r w:rsidRPr="00CA2E61">
              <w:rPr>
                <w:rFonts w:ascii="Open Sans" w:hAnsi="Open Sans" w:cs="Open Sans"/>
                <w:color w:val="4B4B4B"/>
                <w:lang w:val="en-US"/>
              </w:rPr>
              <w:t xml:space="preserve"> </w:t>
            </w:r>
            <w:proofErr w:type="spellStart"/>
            <w:r w:rsidRPr="00CA2E61">
              <w:rPr>
                <w:rFonts w:ascii="Open Sans" w:hAnsi="Open Sans" w:cs="Open Sans"/>
                <w:color w:val="4B4B4B"/>
                <w:lang w:val="en-US"/>
              </w:rPr>
              <w:t>d’évaluation</w:t>
            </w:r>
            <w:proofErr w:type="spellEnd"/>
          </w:p>
        </w:tc>
        <w:tc>
          <w:tcPr>
            <w:tcW w:w="4242" w:type="dxa"/>
            <w:tcBorders>
              <w:top w:val="single" w:sz="4" w:space="0" w:color="auto"/>
              <w:left w:val="single" w:sz="4" w:space="0" w:color="auto"/>
              <w:bottom w:val="single" w:sz="4" w:space="0" w:color="auto"/>
              <w:right w:val="single" w:sz="4" w:space="0" w:color="auto"/>
            </w:tcBorders>
            <w:hideMark/>
          </w:tcPr>
          <w:p w14:paraId="5C56BA07" w14:textId="74DE8DBE" w:rsidR="00FD780A" w:rsidRPr="00CA2E61" w:rsidRDefault="00291C9B" w:rsidP="008C02B0">
            <w:pPr>
              <w:shd w:val="clear" w:color="auto" w:fill="FFFFFF"/>
              <w:spacing w:before="40" w:line="259" w:lineRule="auto"/>
              <w:contextualSpacing/>
              <w:jc w:val="both"/>
              <w:rPr>
                <w:rFonts w:ascii="Open Sans" w:hAnsi="Open Sans" w:cs="Open Sans"/>
                <w:color w:val="4B4B4B"/>
                <w:lang w:val="fr-CH"/>
              </w:rPr>
            </w:pPr>
            <w:r w:rsidRPr="00CA2E61">
              <w:rPr>
                <w:rFonts w:ascii="Open Sans" w:hAnsi="Open Sans" w:cs="Open Sans"/>
                <w:color w:val="4B4B4B"/>
                <w:lang w:val="fr-CH"/>
              </w:rPr>
              <w:t xml:space="preserve">La juste valeur des instruments dérivés est mise à jour </w:t>
            </w:r>
            <w:r w:rsidR="00B96F99">
              <w:rPr>
                <w:rFonts w:ascii="Open Sans" w:hAnsi="Open Sans" w:cs="Open Sans"/>
                <w:color w:val="4B4B4B"/>
                <w:lang w:val="fr-CH"/>
              </w:rPr>
              <w:t>annuellement</w:t>
            </w:r>
            <w:r w:rsidRPr="00CA2E61">
              <w:rPr>
                <w:rFonts w:ascii="Open Sans" w:hAnsi="Open Sans" w:cs="Open Sans"/>
                <w:color w:val="4B4B4B"/>
                <w:lang w:val="fr-CH"/>
              </w:rPr>
              <w:t>.</w:t>
            </w:r>
            <w:r w:rsidR="00FD780A" w:rsidRPr="00CA2E61">
              <w:rPr>
                <w:rFonts w:ascii="Open Sans" w:hAnsi="Open Sans" w:cs="Open Sans"/>
                <w:color w:val="4B4B4B"/>
                <w:lang w:val="fr-CH"/>
              </w:rPr>
              <w:br/>
            </w:r>
          </w:p>
        </w:tc>
      </w:tr>
      <w:tr w:rsidR="00FD780A" w:rsidRPr="00CA2E61" w14:paraId="2537F357" w14:textId="77777777" w:rsidTr="008C02B0">
        <w:tc>
          <w:tcPr>
            <w:tcW w:w="4252" w:type="dxa"/>
            <w:tcBorders>
              <w:top w:val="single" w:sz="4" w:space="0" w:color="auto"/>
              <w:left w:val="single" w:sz="4" w:space="0" w:color="auto"/>
              <w:bottom w:val="single" w:sz="4" w:space="0" w:color="auto"/>
              <w:right w:val="single" w:sz="4" w:space="0" w:color="auto"/>
            </w:tcBorders>
            <w:vAlign w:val="center"/>
          </w:tcPr>
          <w:p w14:paraId="4F3FBC0C" w14:textId="77777777" w:rsidR="00FD780A" w:rsidRPr="00CA2E61" w:rsidRDefault="00FD780A" w:rsidP="008C02B0">
            <w:pPr>
              <w:shd w:val="clear" w:color="auto" w:fill="FFFFFF"/>
              <w:spacing w:before="40"/>
              <w:contextualSpacing/>
              <w:jc w:val="both"/>
              <w:rPr>
                <w:rFonts w:ascii="Open Sans" w:hAnsi="Open Sans" w:cs="Open Sans"/>
                <w:color w:val="4B4B4B"/>
                <w:lang w:val="fr-CH"/>
              </w:rPr>
            </w:pPr>
            <w:r w:rsidRPr="00CA2E61">
              <w:rPr>
                <w:rFonts w:ascii="Open Sans" w:hAnsi="Open Sans" w:cs="Open Sans"/>
                <w:color w:val="4B4B4B"/>
                <w:lang w:val="fr-CH"/>
              </w:rPr>
              <w:t>Non-disqualification en cas d’évolution du stock de dette</w:t>
            </w:r>
          </w:p>
        </w:tc>
        <w:tc>
          <w:tcPr>
            <w:tcW w:w="4242" w:type="dxa"/>
            <w:tcBorders>
              <w:top w:val="single" w:sz="4" w:space="0" w:color="auto"/>
              <w:left w:val="single" w:sz="4" w:space="0" w:color="auto"/>
              <w:bottom w:val="single" w:sz="4" w:space="0" w:color="auto"/>
              <w:right w:val="single" w:sz="4" w:space="0" w:color="auto"/>
            </w:tcBorders>
            <w:vAlign w:val="center"/>
          </w:tcPr>
          <w:p w14:paraId="5B1DE71C" w14:textId="77777777" w:rsidR="00FD780A" w:rsidRPr="00CA2E61" w:rsidRDefault="00FD780A" w:rsidP="008C02B0">
            <w:pPr>
              <w:shd w:val="clear" w:color="auto" w:fill="FFFFFF"/>
              <w:spacing w:before="40"/>
              <w:contextualSpacing/>
              <w:jc w:val="both"/>
              <w:rPr>
                <w:rFonts w:ascii="Open Sans" w:hAnsi="Open Sans" w:cs="Open Sans"/>
                <w:color w:val="4B4B4B"/>
                <w:lang w:val="en-US"/>
              </w:rPr>
            </w:pPr>
            <w:r w:rsidRPr="00CA2E61">
              <w:rPr>
                <w:rFonts w:ascii="Open Sans" w:hAnsi="Open Sans" w:cs="Open Sans"/>
                <w:color w:val="4B4B4B"/>
                <w:lang w:val="fr-CH"/>
              </w:rPr>
              <w:t xml:space="preserve">La méthodologie repose sur un cadre de gestion permettant le renouvellement et le </w:t>
            </w:r>
            <w:proofErr w:type="spellStart"/>
            <w:r w:rsidRPr="00CA2E61">
              <w:rPr>
                <w:rFonts w:ascii="Open Sans" w:hAnsi="Open Sans" w:cs="Open Sans"/>
                <w:color w:val="4B4B4B"/>
                <w:lang w:val="fr-CH"/>
              </w:rPr>
              <w:t>rollover</w:t>
            </w:r>
            <w:proofErr w:type="spellEnd"/>
            <w:r w:rsidRPr="00CA2E61">
              <w:rPr>
                <w:rFonts w:ascii="Open Sans" w:hAnsi="Open Sans" w:cs="Open Sans"/>
                <w:color w:val="4B4B4B"/>
                <w:lang w:val="fr-CH"/>
              </w:rPr>
              <w:t xml:space="preserve"> des dettes, ainsi que leur intégration dans le périmètre GEN0, tant que le sous-jacent couvert conserve des caractéristiques similaires. Date de roll, indice de référence etc.</w:t>
            </w:r>
          </w:p>
        </w:tc>
      </w:tr>
    </w:tbl>
    <w:p w14:paraId="5623B5BB" w14:textId="77777777" w:rsidR="00140844" w:rsidRDefault="00140844" w:rsidP="00E5447D">
      <w:pPr>
        <w:pStyle w:val="Titre1"/>
        <w:rPr>
          <w:rFonts w:ascii="Open Sans" w:hAnsi="Open Sans" w:cs="Open Sans"/>
          <w:lang w:val="fr-CH"/>
        </w:rPr>
      </w:pPr>
    </w:p>
    <w:p w14:paraId="1673BED3" w14:textId="77777777" w:rsidR="00140844" w:rsidRDefault="00140844">
      <w:pPr>
        <w:rPr>
          <w:rFonts w:ascii="Open Sans" w:eastAsiaTheme="majorEastAsia" w:hAnsi="Open Sans" w:cs="Open Sans"/>
          <w:color w:val="0B6E62" w:themeColor="accent1" w:themeShade="BF"/>
          <w:sz w:val="32"/>
          <w:szCs w:val="32"/>
          <w:lang w:val="fr-CH"/>
        </w:rPr>
      </w:pPr>
      <w:r>
        <w:rPr>
          <w:rFonts w:ascii="Open Sans" w:hAnsi="Open Sans" w:cs="Open Sans"/>
          <w:lang w:val="fr-CH"/>
        </w:rPr>
        <w:br w:type="page"/>
      </w:r>
    </w:p>
    <w:p w14:paraId="2E972B78" w14:textId="443FA216" w:rsidR="00E5447D" w:rsidRPr="00CA2E61" w:rsidRDefault="00E5447D" w:rsidP="00E5447D">
      <w:pPr>
        <w:pStyle w:val="Titre1"/>
        <w:rPr>
          <w:rFonts w:ascii="Open Sans" w:hAnsi="Open Sans" w:cs="Open Sans"/>
          <w:lang w:val="fr-CH"/>
        </w:rPr>
      </w:pPr>
      <w:r w:rsidRPr="00CA2E61">
        <w:rPr>
          <w:rFonts w:ascii="Open Sans" w:hAnsi="Open Sans" w:cs="Open Sans"/>
          <w:lang w:val="fr-CH"/>
        </w:rPr>
        <w:lastRenderedPageBreak/>
        <w:t>6. Tests d’</w:t>
      </w:r>
      <w:r w:rsidR="00B96F99">
        <w:rPr>
          <w:rFonts w:ascii="Open Sans" w:hAnsi="Open Sans" w:cs="Open Sans"/>
          <w:lang w:val="fr-CH"/>
        </w:rPr>
        <w:t>e</w:t>
      </w:r>
      <w:r w:rsidRPr="00CA2E61">
        <w:rPr>
          <w:rFonts w:ascii="Open Sans" w:hAnsi="Open Sans" w:cs="Open Sans"/>
          <w:lang w:val="fr-CH"/>
        </w:rPr>
        <w:t>fficacité de la Couverture</w:t>
      </w:r>
    </w:p>
    <w:p w14:paraId="786B61B3" w14:textId="424C74BE" w:rsidR="00E5447D" w:rsidRPr="00CA2E61" w:rsidRDefault="00E5447D" w:rsidP="00E5447D">
      <w:pPr>
        <w:pStyle w:val="Titre2"/>
        <w:rPr>
          <w:rFonts w:ascii="Open Sans" w:hAnsi="Open Sans" w:cs="Open Sans"/>
          <w:lang w:val="fr-CH"/>
        </w:rPr>
      </w:pPr>
      <w:r w:rsidRPr="00CA2E61">
        <w:rPr>
          <w:rFonts w:ascii="Open Sans" w:hAnsi="Open Sans" w:cs="Open Sans"/>
          <w:lang w:val="fr-CH"/>
        </w:rPr>
        <w:t xml:space="preserve">6.1. Test </w:t>
      </w:r>
      <w:r w:rsidR="00B96F99">
        <w:rPr>
          <w:rFonts w:ascii="Open Sans" w:hAnsi="Open Sans" w:cs="Open Sans"/>
          <w:lang w:val="fr-CH"/>
        </w:rPr>
        <w:t>p</w:t>
      </w:r>
      <w:r w:rsidRPr="00CA2E61">
        <w:rPr>
          <w:rFonts w:ascii="Open Sans" w:hAnsi="Open Sans" w:cs="Open Sans"/>
          <w:lang w:val="fr-CH"/>
        </w:rPr>
        <w:t>rospectif</w:t>
      </w:r>
    </w:p>
    <w:p w14:paraId="4A8FF854"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Le test prospectif réalisé avant la mise en place de la relation de couverture montre une corrélation parfaite entre l’élément couvert et l’instrument de couverture, justifiant ainsi l’application du modèle de couverture IFRS 9.</w:t>
      </w:r>
    </w:p>
    <w:p w14:paraId="5BD0F357" w14:textId="77777777" w:rsidR="008C148D" w:rsidRPr="00CA2E61" w:rsidRDefault="008C148D" w:rsidP="00E5447D">
      <w:pPr>
        <w:shd w:val="clear" w:color="auto" w:fill="FFFFFF"/>
        <w:spacing w:before="40" w:after="0"/>
        <w:contextualSpacing/>
        <w:jc w:val="both"/>
        <w:rPr>
          <w:rFonts w:ascii="Open Sans" w:hAnsi="Open Sans" w:cs="Open Sans"/>
          <w:color w:val="4B4B4B"/>
          <w:lang w:val="fr-CH"/>
        </w:rPr>
      </w:pPr>
    </w:p>
    <w:p w14:paraId="1036825D" w14:textId="4679734A"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Description et </w:t>
      </w:r>
      <w:r w:rsidR="008C148D" w:rsidRPr="00CA2E61">
        <w:rPr>
          <w:rFonts w:ascii="Open Sans" w:hAnsi="Open Sans" w:cs="Open Sans"/>
          <w:color w:val="4B4B4B"/>
          <w:lang w:val="fr-CH"/>
        </w:rPr>
        <w:t>objectifs :</w:t>
      </w:r>
      <w:r w:rsidRPr="00CA2E61">
        <w:rPr>
          <w:rFonts w:ascii="Open Sans" w:hAnsi="Open Sans" w:cs="Open Sans"/>
          <w:color w:val="4B4B4B"/>
          <w:lang w:val="fr-CH"/>
        </w:rPr>
        <w:t xml:space="preserve"> </w:t>
      </w:r>
    </w:p>
    <w:p w14:paraId="45C82F96" w14:textId="77777777" w:rsidR="008C148D" w:rsidRPr="00CA2E61" w:rsidRDefault="008C148D" w:rsidP="00E5447D">
      <w:pPr>
        <w:shd w:val="clear" w:color="auto" w:fill="FFFFFF"/>
        <w:spacing w:before="40" w:after="0"/>
        <w:contextualSpacing/>
        <w:jc w:val="both"/>
        <w:rPr>
          <w:rFonts w:ascii="Open Sans" w:hAnsi="Open Sans" w:cs="Open Sans"/>
          <w:color w:val="4B4B4B"/>
          <w:lang w:val="fr-CH"/>
        </w:rPr>
      </w:pPr>
    </w:p>
    <w:p w14:paraId="1633E714" w14:textId="26C816E8"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Le rapport a pour but d’établir le niveau d’efficacité d’un portefeuille de couvertures. Le chiffre calculé fluctuera autour de 1 si les couvertures sont adaptées au portefeuille. Une sous couverture n’impacte pas le test d’efficacité, en revanche la moindre sur-couverture (même locale pendant </w:t>
      </w:r>
      <w:r w:rsidR="008C148D" w:rsidRPr="00CA2E61">
        <w:rPr>
          <w:rFonts w:ascii="Open Sans" w:hAnsi="Open Sans" w:cs="Open Sans"/>
          <w:color w:val="4B4B4B"/>
          <w:lang w:val="fr-CH"/>
        </w:rPr>
        <w:t>un trimestre donné</w:t>
      </w:r>
      <w:r w:rsidRPr="00CA2E61">
        <w:rPr>
          <w:rFonts w:ascii="Open Sans" w:hAnsi="Open Sans" w:cs="Open Sans"/>
          <w:color w:val="4B4B4B"/>
          <w:lang w:val="fr-CH"/>
        </w:rPr>
        <w:t>) affecte l’efficacité globale du portefeuille de couvertures. Afin de calibrer correctement les montants couverts on les ajuste trimestriellement au montant des dérivés (sauf en cas de sur-couverture locale).</w:t>
      </w:r>
    </w:p>
    <w:p w14:paraId="5B94DCC7" w14:textId="77777777" w:rsidR="008C148D" w:rsidRPr="00CA2E61" w:rsidRDefault="008C148D" w:rsidP="00E5447D">
      <w:pPr>
        <w:shd w:val="clear" w:color="auto" w:fill="FFFFFF"/>
        <w:spacing w:before="40" w:after="0"/>
        <w:contextualSpacing/>
        <w:jc w:val="both"/>
        <w:rPr>
          <w:rFonts w:ascii="Open Sans" w:hAnsi="Open Sans" w:cs="Open Sans"/>
          <w:color w:val="4B4B4B"/>
          <w:lang w:val="fr-CH"/>
        </w:rPr>
      </w:pPr>
    </w:p>
    <w:p w14:paraId="1BF4E0E6" w14:textId="03B3BF93" w:rsidR="008C148D" w:rsidRPr="00CA2E61" w:rsidRDefault="008C148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Définition :</w:t>
      </w:r>
      <w:r w:rsidR="00E5447D" w:rsidRPr="00CA2E61">
        <w:rPr>
          <w:rFonts w:ascii="Open Sans" w:hAnsi="Open Sans" w:cs="Open Sans"/>
          <w:color w:val="4B4B4B"/>
          <w:lang w:val="fr-CH"/>
        </w:rPr>
        <w:t xml:space="preserve"> </w:t>
      </w:r>
    </w:p>
    <w:p w14:paraId="6034B411" w14:textId="744BD345"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 </w:t>
      </w:r>
    </w:p>
    <w:p w14:paraId="60ECED28" w14:textId="1ECB320D"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L’efficacité est calculée par le rapport entre :</w:t>
      </w:r>
    </w:p>
    <w:p w14:paraId="7C52F078" w14:textId="1569D852" w:rsidR="00E5447D" w:rsidRPr="00140844" w:rsidRDefault="00E5447D" w:rsidP="00140844">
      <w:pPr>
        <w:pStyle w:val="Paragraphedeliste"/>
        <w:numPr>
          <w:ilvl w:val="0"/>
          <w:numId w:val="7"/>
        </w:numPr>
        <w:shd w:val="clear" w:color="auto" w:fill="FFFFFF"/>
        <w:spacing w:before="40"/>
        <w:ind w:left="284" w:hanging="284"/>
        <w:contextualSpacing/>
        <w:jc w:val="both"/>
        <w:rPr>
          <w:rFonts w:ascii="Open Sans" w:hAnsi="Open Sans" w:cs="Open Sans"/>
          <w:color w:val="4B4B4B"/>
          <w:lang w:val="fr-CH"/>
        </w:rPr>
      </w:pPr>
      <w:proofErr w:type="gramStart"/>
      <w:r w:rsidRPr="00140844">
        <w:rPr>
          <w:rFonts w:ascii="Open Sans" w:hAnsi="Open Sans" w:cs="Open Sans"/>
          <w:color w:val="4B4B4B"/>
          <w:lang w:val="fr-CH"/>
        </w:rPr>
        <w:t>la</w:t>
      </w:r>
      <w:proofErr w:type="gramEnd"/>
      <w:r w:rsidRPr="00140844">
        <w:rPr>
          <w:rFonts w:ascii="Open Sans" w:hAnsi="Open Sans" w:cs="Open Sans"/>
          <w:color w:val="4B4B4B"/>
          <w:lang w:val="fr-CH"/>
        </w:rPr>
        <w:t xml:space="preserve"> variation des </w:t>
      </w:r>
      <w:proofErr w:type="spellStart"/>
      <w:r w:rsidRPr="00140844">
        <w:rPr>
          <w:rFonts w:ascii="Open Sans" w:hAnsi="Open Sans" w:cs="Open Sans"/>
          <w:color w:val="4B4B4B"/>
          <w:lang w:val="fr-CH"/>
        </w:rPr>
        <w:t>MtM</w:t>
      </w:r>
      <w:proofErr w:type="spellEnd"/>
      <w:r w:rsidRPr="00140844">
        <w:rPr>
          <w:rFonts w:ascii="Open Sans" w:hAnsi="Open Sans" w:cs="Open Sans"/>
          <w:color w:val="4B4B4B"/>
          <w:lang w:val="fr-CH"/>
        </w:rPr>
        <w:t xml:space="preserve"> (future value) </w:t>
      </w:r>
      <w:r w:rsidR="008C148D" w:rsidRPr="00140844">
        <w:rPr>
          <w:rFonts w:ascii="Open Sans" w:hAnsi="Open Sans" w:cs="Open Sans"/>
          <w:color w:val="4B4B4B"/>
          <w:lang w:val="fr-CH"/>
        </w:rPr>
        <w:t>des couvertures calculées</w:t>
      </w:r>
      <w:r w:rsidRPr="00140844">
        <w:rPr>
          <w:rFonts w:ascii="Open Sans" w:hAnsi="Open Sans" w:cs="Open Sans"/>
          <w:color w:val="4B4B4B"/>
          <w:lang w:val="fr-CH"/>
        </w:rPr>
        <w:t xml:space="preserve"> en utilisant la courbe des taux projetés de références et le choc retenu dans le modèle</w:t>
      </w:r>
    </w:p>
    <w:p w14:paraId="14E01CBD" w14:textId="0EFB3B26" w:rsidR="00E5447D" w:rsidRPr="00140844" w:rsidRDefault="00E5447D" w:rsidP="00140844">
      <w:pPr>
        <w:pStyle w:val="Paragraphedeliste"/>
        <w:numPr>
          <w:ilvl w:val="0"/>
          <w:numId w:val="7"/>
        </w:numPr>
        <w:shd w:val="clear" w:color="auto" w:fill="FFFFFF"/>
        <w:spacing w:before="40"/>
        <w:ind w:left="284" w:hanging="284"/>
        <w:contextualSpacing/>
        <w:jc w:val="both"/>
        <w:rPr>
          <w:rFonts w:ascii="Open Sans" w:hAnsi="Open Sans" w:cs="Open Sans"/>
          <w:color w:val="4B4B4B"/>
          <w:lang w:val="fr-CH"/>
        </w:rPr>
      </w:pPr>
      <w:proofErr w:type="gramStart"/>
      <w:r w:rsidRPr="00140844">
        <w:rPr>
          <w:rFonts w:ascii="Open Sans" w:hAnsi="Open Sans" w:cs="Open Sans"/>
          <w:color w:val="4B4B4B"/>
          <w:lang w:val="fr-CH"/>
        </w:rPr>
        <w:t>la</w:t>
      </w:r>
      <w:proofErr w:type="gramEnd"/>
      <w:r w:rsidRPr="00140844">
        <w:rPr>
          <w:rFonts w:ascii="Open Sans" w:hAnsi="Open Sans" w:cs="Open Sans"/>
          <w:color w:val="4B4B4B"/>
          <w:lang w:val="fr-CH"/>
        </w:rPr>
        <w:t xml:space="preserve"> variation des </w:t>
      </w:r>
      <w:proofErr w:type="spellStart"/>
      <w:r w:rsidRPr="00140844">
        <w:rPr>
          <w:rFonts w:ascii="Open Sans" w:hAnsi="Open Sans" w:cs="Open Sans"/>
          <w:color w:val="4B4B4B"/>
          <w:lang w:val="fr-CH"/>
        </w:rPr>
        <w:t>MtM</w:t>
      </w:r>
      <w:proofErr w:type="spellEnd"/>
      <w:r w:rsidRPr="00140844">
        <w:rPr>
          <w:rFonts w:ascii="Open Sans" w:hAnsi="Open Sans" w:cs="Open Sans"/>
          <w:color w:val="4B4B4B"/>
          <w:lang w:val="fr-CH"/>
        </w:rPr>
        <w:t xml:space="preserve"> (future value) des charges d’intérêts de la dette calculés en utilisant la courbe des taux projetés de références et le choc retenu dans le modèle</w:t>
      </w:r>
    </w:p>
    <w:p w14:paraId="74BB3CEC"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p>
    <w:p w14:paraId="4E1D27C3" w14:textId="280A8252" w:rsidR="00E5447D" w:rsidRPr="00CA2E61" w:rsidRDefault="00E5447D" w:rsidP="00E5447D">
      <w:pPr>
        <w:pStyle w:val="Titre2"/>
        <w:rPr>
          <w:rFonts w:ascii="Open Sans" w:hAnsi="Open Sans" w:cs="Open Sans"/>
          <w:lang w:val="fr-CH"/>
        </w:rPr>
      </w:pPr>
      <w:r w:rsidRPr="00CA2E61">
        <w:rPr>
          <w:rFonts w:ascii="Open Sans" w:hAnsi="Open Sans" w:cs="Open Sans"/>
          <w:lang w:val="fr-CH"/>
        </w:rPr>
        <w:t xml:space="preserve">6.2. Test </w:t>
      </w:r>
      <w:r w:rsidR="00B96F99">
        <w:rPr>
          <w:rFonts w:ascii="Open Sans" w:hAnsi="Open Sans" w:cs="Open Sans"/>
          <w:lang w:val="fr-CH"/>
        </w:rPr>
        <w:t>r</w:t>
      </w:r>
      <w:r w:rsidRPr="00CA2E61">
        <w:rPr>
          <w:rFonts w:ascii="Open Sans" w:hAnsi="Open Sans" w:cs="Open Sans"/>
          <w:lang w:val="fr-CH"/>
        </w:rPr>
        <w:t>étrospectif</w:t>
      </w:r>
    </w:p>
    <w:p w14:paraId="4F8B51C2" w14:textId="70215441"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Le test rétrospectif, réalisé </w:t>
      </w:r>
      <w:r w:rsidR="00B96F99">
        <w:rPr>
          <w:rFonts w:ascii="Open Sans" w:hAnsi="Open Sans" w:cs="Open Sans"/>
          <w:color w:val="4B4B4B"/>
          <w:lang w:val="fr-CH"/>
        </w:rPr>
        <w:t>annuellement</w:t>
      </w:r>
      <w:r w:rsidRPr="00CA2E61">
        <w:rPr>
          <w:rFonts w:ascii="Open Sans" w:hAnsi="Open Sans" w:cs="Open Sans"/>
          <w:color w:val="4B4B4B"/>
          <w:lang w:val="fr-CH"/>
        </w:rPr>
        <w:t xml:space="preserve">, mesure l’efficacité réelle de la couverture. Les flux projetés en date d’ouverture sont </w:t>
      </w:r>
      <w:r w:rsidR="008C148D" w:rsidRPr="00CA2E61">
        <w:rPr>
          <w:rFonts w:ascii="Open Sans" w:hAnsi="Open Sans" w:cs="Open Sans"/>
          <w:color w:val="4B4B4B"/>
          <w:lang w:val="fr-CH"/>
        </w:rPr>
        <w:t>comparés</w:t>
      </w:r>
      <w:r w:rsidRPr="00CA2E61">
        <w:rPr>
          <w:rFonts w:ascii="Open Sans" w:hAnsi="Open Sans" w:cs="Open Sans"/>
          <w:color w:val="4B4B4B"/>
          <w:lang w:val="fr-CH"/>
        </w:rPr>
        <w:t xml:space="preserve"> au flux du réalisé à la date de </w:t>
      </w:r>
      <w:proofErr w:type="spellStart"/>
      <w:r w:rsidRPr="00CA2E61">
        <w:rPr>
          <w:rFonts w:ascii="Open Sans" w:hAnsi="Open Sans" w:cs="Open Sans"/>
          <w:color w:val="4B4B4B"/>
          <w:lang w:val="fr-CH"/>
        </w:rPr>
        <w:t>cloture</w:t>
      </w:r>
      <w:proofErr w:type="spellEnd"/>
      <w:r w:rsidRPr="00CA2E61">
        <w:rPr>
          <w:rFonts w:ascii="Open Sans" w:hAnsi="Open Sans" w:cs="Open Sans"/>
          <w:color w:val="4B4B4B"/>
          <w:lang w:val="fr-CH"/>
        </w:rPr>
        <w:t xml:space="preserve">. L’analyse est segmentée entre le </w:t>
      </w:r>
      <w:r w:rsidR="008C148D" w:rsidRPr="00CA2E61">
        <w:rPr>
          <w:rFonts w:ascii="Open Sans" w:hAnsi="Open Sans" w:cs="Open Sans"/>
          <w:color w:val="4B4B4B"/>
          <w:lang w:val="fr-CH"/>
        </w:rPr>
        <w:t>sous-jacent</w:t>
      </w:r>
      <w:r w:rsidRPr="00CA2E61">
        <w:rPr>
          <w:rFonts w:ascii="Open Sans" w:hAnsi="Open Sans" w:cs="Open Sans"/>
          <w:color w:val="4B4B4B"/>
          <w:lang w:val="fr-CH"/>
        </w:rPr>
        <w:t xml:space="preserve"> GEN0 couvert et les couvertures GEN0</w:t>
      </w:r>
    </w:p>
    <w:p w14:paraId="2ECC6B3A"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p>
    <w:p w14:paraId="59C47C70" w14:textId="77777777" w:rsidR="00140844" w:rsidRDefault="00140844">
      <w:pPr>
        <w:rPr>
          <w:rFonts w:ascii="Open Sans" w:eastAsiaTheme="majorEastAsia" w:hAnsi="Open Sans" w:cs="Open Sans"/>
          <w:color w:val="0B6E62" w:themeColor="accent1" w:themeShade="BF"/>
          <w:sz w:val="32"/>
          <w:szCs w:val="32"/>
          <w:lang w:val="fr-CH"/>
        </w:rPr>
      </w:pPr>
      <w:r>
        <w:rPr>
          <w:rFonts w:ascii="Open Sans" w:hAnsi="Open Sans" w:cs="Open Sans"/>
          <w:lang w:val="fr-CH"/>
        </w:rPr>
        <w:br w:type="page"/>
      </w:r>
    </w:p>
    <w:p w14:paraId="733A4B30" w14:textId="71941A5E" w:rsidR="00E5447D" w:rsidRPr="00CA2E61" w:rsidRDefault="00E5447D" w:rsidP="00E5447D">
      <w:pPr>
        <w:pStyle w:val="Titre1"/>
        <w:rPr>
          <w:rFonts w:ascii="Open Sans" w:hAnsi="Open Sans" w:cs="Open Sans"/>
          <w:lang w:val="fr-CH"/>
        </w:rPr>
      </w:pPr>
      <w:r w:rsidRPr="00CA2E61">
        <w:rPr>
          <w:rFonts w:ascii="Open Sans" w:hAnsi="Open Sans" w:cs="Open Sans"/>
          <w:lang w:val="fr-CH"/>
        </w:rPr>
        <w:lastRenderedPageBreak/>
        <w:t>7. Traitement Comptable sous IFRS 9 :</w:t>
      </w:r>
    </w:p>
    <w:p w14:paraId="48230BCF" w14:textId="77777777" w:rsidR="008C148D" w:rsidRPr="00CA2E61" w:rsidRDefault="008C148D" w:rsidP="008C148D">
      <w:pPr>
        <w:rPr>
          <w:rFonts w:ascii="Open Sans" w:hAnsi="Open Sans" w:cs="Open Sans"/>
          <w:lang w:val="fr-CH"/>
        </w:rPr>
      </w:pPr>
    </w:p>
    <w:tbl>
      <w:tblPr>
        <w:tblStyle w:val="Grilledutableau"/>
        <w:tblW w:w="0" w:type="auto"/>
        <w:tblLook w:val="04A0" w:firstRow="1" w:lastRow="0" w:firstColumn="1" w:lastColumn="0" w:noHBand="0" w:noVBand="1"/>
      </w:tblPr>
      <w:tblGrid>
        <w:gridCol w:w="4248"/>
        <w:gridCol w:w="4246"/>
      </w:tblGrid>
      <w:tr w:rsidR="00D954DB" w:rsidRPr="00CA2E61" w14:paraId="00149E9B" w14:textId="77777777" w:rsidTr="008C02B0">
        <w:tc>
          <w:tcPr>
            <w:tcW w:w="4320" w:type="dxa"/>
          </w:tcPr>
          <w:p w14:paraId="53CAB63F" w14:textId="05C5B055" w:rsidR="00D954DB" w:rsidRPr="00CA2E61" w:rsidRDefault="00D954DB" w:rsidP="008C02B0">
            <w:pPr>
              <w:rPr>
                <w:rFonts w:ascii="Open Sans" w:hAnsi="Open Sans" w:cs="Open Sans"/>
              </w:rPr>
            </w:pPr>
            <w:r w:rsidRPr="00CA2E61">
              <w:rPr>
                <w:rFonts w:ascii="Open Sans" w:hAnsi="Open Sans" w:cs="Open Sans"/>
              </w:rPr>
              <w:t>Traitement comptable IFRS 9</w:t>
            </w:r>
          </w:p>
        </w:tc>
        <w:tc>
          <w:tcPr>
            <w:tcW w:w="4320" w:type="dxa"/>
          </w:tcPr>
          <w:p w14:paraId="22BE782A" w14:textId="77777777" w:rsidR="00D954DB" w:rsidRPr="00CA2E61" w:rsidRDefault="00D954DB" w:rsidP="008C02B0">
            <w:pPr>
              <w:rPr>
                <w:rFonts w:ascii="Open Sans" w:hAnsi="Open Sans" w:cs="Open Sans"/>
              </w:rPr>
            </w:pPr>
            <w:r w:rsidRPr="00CA2E61">
              <w:rPr>
                <w:rFonts w:ascii="Open Sans" w:hAnsi="Open Sans" w:cs="Open Sans"/>
              </w:rPr>
              <w:t>Application dans le cadre de GEN 0</w:t>
            </w:r>
          </w:p>
        </w:tc>
      </w:tr>
      <w:tr w:rsidR="00D954DB" w:rsidRPr="00CA2E61" w14:paraId="530D4B68" w14:textId="77777777" w:rsidTr="008C02B0">
        <w:tc>
          <w:tcPr>
            <w:tcW w:w="4320" w:type="dxa"/>
          </w:tcPr>
          <w:p w14:paraId="32154E64" w14:textId="77777777" w:rsidR="00D954DB" w:rsidRPr="00CA2E61" w:rsidRDefault="00D954DB" w:rsidP="008C02B0">
            <w:pPr>
              <w:rPr>
                <w:rFonts w:ascii="Open Sans" w:hAnsi="Open Sans" w:cs="Open Sans"/>
              </w:rPr>
            </w:pPr>
            <w:r w:rsidRPr="00CA2E61">
              <w:rPr>
                <w:rFonts w:ascii="Open Sans" w:hAnsi="Open Sans" w:cs="Open Sans"/>
              </w:rPr>
              <w:t>Méthodologie d’évaluation de l’efficacité</w:t>
            </w:r>
          </w:p>
        </w:tc>
        <w:tc>
          <w:tcPr>
            <w:tcW w:w="4320" w:type="dxa"/>
          </w:tcPr>
          <w:p w14:paraId="766D2100" w14:textId="77777777" w:rsidR="00D954DB" w:rsidRPr="00CA2E61" w:rsidRDefault="00D954DB" w:rsidP="008C02B0">
            <w:pPr>
              <w:rPr>
                <w:rFonts w:ascii="Open Sans" w:hAnsi="Open Sans" w:cs="Open Sans"/>
              </w:rPr>
            </w:pPr>
            <w:r w:rsidRPr="00CA2E61">
              <w:rPr>
                <w:rFonts w:ascii="Open Sans" w:hAnsi="Open Sans" w:cs="Open Sans"/>
              </w:rPr>
              <w:t xml:space="preserve">Le test d'efficacité rétrospectif évalue la performance passée de la relation de couverture, en comparant les variations réelles de la valeur de l'instrument de couverture et de l'élément couvert. </w:t>
            </w:r>
          </w:p>
          <w:p w14:paraId="53980033" w14:textId="77777777" w:rsidR="00D954DB" w:rsidRPr="00CA2E61" w:rsidRDefault="00D954DB" w:rsidP="008C02B0">
            <w:pPr>
              <w:rPr>
                <w:rFonts w:ascii="Open Sans" w:hAnsi="Open Sans" w:cs="Open Sans"/>
              </w:rPr>
            </w:pPr>
          </w:p>
          <w:p w14:paraId="094C8078" w14:textId="77777777" w:rsidR="00D954DB" w:rsidRPr="00CA2E61" w:rsidRDefault="00D954DB" w:rsidP="008C02B0">
            <w:pPr>
              <w:rPr>
                <w:rFonts w:ascii="Open Sans" w:hAnsi="Open Sans" w:cs="Open Sans"/>
              </w:rPr>
            </w:pPr>
            <w:r w:rsidRPr="00CA2E61">
              <w:rPr>
                <w:rFonts w:ascii="Open Sans" w:hAnsi="Open Sans" w:cs="Open Sans"/>
              </w:rPr>
              <w:t>Objectif : Vérifier si la relation de couverture a été efficace sur la période écoulée.</w:t>
            </w:r>
          </w:p>
          <w:p w14:paraId="56E92A33" w14:textId="77777777" w:rsidR="00D954DB" w:rsidRPr="00CA2E61" w:rsidRDefault="00D954DB" w:rsidP="008C02B0">
            <w:pPr>
              <w:rPr>
                <w:rFonts w:ascii="Open Sans" w:hAnsi="Open Sans" w:cs="Open Sans"/>
              </w:rPr>
            </w:pPr>
          </w:p>
          <w:p w14:paraId="4A04BF9E" w14:textId="34B45B50" w:rsidR="00D954DB" w:rsidRPr="00CA2E61" w:rsidRDefault="00D954DB" w:rsidP="008C02B0">
            <w:pPr>
              <w:rPr>
                <w:rFonts w:ascii="Open Sans" w:hAnsi="Open Sans" w:cs="Open Sans"/>
              </w:rPr>
            </w:pPr>
            <w:r w:rsidRPr="00CA2E61">
              <w:rPr>
                <w:rFonts w:ascii="Open Sans" w:hAnsi="Open Sans" w:cs="Open Sans"/>
              </w:rPr>
              <w:t xml:space="preserve">Le test d'efficacité prospectif vise à s'assurer que la relation de couverture restera efficace à l'avenir. Il s'agit de prévoir si l'instrument de couverture continuera de compenser de manière fiable les variations flux de trésorerie </w:t>
            </w:r>
            <w:r w:rsidR="001D1D3F" w:rsidRPr="00CA2E61">
              <w:rPr>
                <w:rFonts w:ascii="Open Sans" w:hAnsi="Open Sans" w:cs="Open Sans"/>
              </w:rPr>
              <w:t>du périmètre GEN0</w:t>
            </w:r>
            <w:r w:rsidRPr="00CA2E61">
              <w:rPr>
                <w:rFonts w:ascii="Open Sans" w:hAnsi="Open Sans" w:cs="Open Sans"/>
              </w:rPr>
              <w:t>.</w:t>
            </w:r>
          </w:p>
          <w:p w14:paraId="3337E91D" w14:textId="77777777" w:rsidR="00D954DB" w:rsidRPr="00CA2E61" w:rsidRDefault="00D954DB" w:rsidP="008C02B0">
            <w:pPr>
              <w:rPr>
                <w:rFonts w:ascii="Open Sans" w:hAnsi="Open Sans" w:cs="Open Sans"/>
              </w:rPr>
            </w:pPr>
          </w:p>
          <w:p w14:paraId="02F6D9C7" w14:textId="2145972F" w:rsidR="00D954DB" w:rsidRPr="00CA2E61" w:rsidRDefault="00D954DB" w:rsidP="008C02B0">
            <w:pPr>
              <w:rPr>
                <w:rFonts w:ascii="Open Sans" w:hAnsi="Open Sans" w:cs="Open Sans"/>
              </w:rPr>
            </w:pPr>
            <w:r w:rsidRPr="00CA2E61">
              <w:rPr>
                <w:rFonts w:ascii="Open Sans" w:hAnsi="Open Sans" w:cs="Open Sans"/>
              </w:rPr>
              <w:t xml:space="preserve">Objectif : Vérifier si la couverture est conçue </w:t>
            </w:r>
            <w:proofErr w:type="gramStart"/>
            <w:r w:rsidRPr="00CA2E61">
              <w:rPr>
                <w:rFonts w:ascii="Open Sans" w:hAnsi="Open Sans" w:cs="Open Sans"/>
              </w:rPr>
              <w:t>de manière à ce</w:t>
            </w:r>
            <w:proofErr w:type="gramEnd"/>
            <w:r w:rsidRPr="00CA2E61">
              <w:rPr>
                <w:rFonts w:ascii="Open Sans" w:hAnsi="Open Sans" w:cs="Open Sans"/>
              </w:rPr>
              <w:t xml:space="preserve"> qu'il existe une relation économique solide entre l'élément couvert et l'instrument de couverture.</w:t>
            </w:r>
          </w:p>
        </w:tc>
      </w:tr>
      <w:tr w:rsidR="00D954DB" w:rsidRPr="00CA2E61" w14:paraId="500F282D" w14:textId="77777777" w:rsidTr="008C02B0">
        <w:tc>
          <w:tcPr>
            <w:tcW w:w="4320" w:type="dxa"/>
          </w:tcPr>
          <w:p w14:paraId="4012C3C1" w14:textId="77777777" w:rsidR="00D954DB" w:rsidRPr="00CA2E61" w:rsidRDefault="00D954DB" w:rsidP="008C02B0">
            <w:pPr>
              <w:rPr>
                <w:rFonts w:ascii="Open Sans" w:hAnsi="Open Sans" w:cs="Open Sans"/>
              </w:rPr>
            </w:pPr>
            <w:r w:rsidRPr="00CA2E61">
              <w:rPr>
                <w:rFonts w:ascii="Open Sans" w:hAnsi="Open Sans" w:cs="Open Sans"/>
              </w:rPr>
              <w:t>Comptabilisation des variations de juste valeur</w:t>
            </w:r>
          </w:p>
        </w:tc>
        <w:tc>
          <w:tcPr>
            <w:tcW w:w="4320" w:type="dxa"/>
          </w:tcPr>
          <w:p w14:paraId="2AEC8DF8" w14:textId="77777777" w:rsidR="00D954DB" w:rsidRPr="00CA2E61" w:rsidRDefault="00D954DB" w:rsidP="008C02B0">
            <w:pPr>
              <w:rPr>
                <w:rFonts w:ascii="Open Sans" w:hAnsi="Open Sans" w:cs="Open Sans"/>
              </w:rPr>
            </w:pPr>
            <w:r w:rsidRPr="00CA2E61">
              <w:rPr>
                <w:rFonts w:ascii="Open Sans" w:hAnsi="Open Sans" w:cs="Open Sans"/>
              </w:rPr>
              <w:t>Les variations de juste valeur des instruments dérivés sont comptabilisées en autres éléments du résultat global (OCI).</w:t>
            </w:r>
          </w:p>
        </w:tc>
      </w:tr>
      <w:tr w:rsidR="00D954DB" w:rsidRPr="00CA2E61" w14:paraId="297E5C1A" w14:textId="77777777" w:rsidTr="008C02B0">
        <w:tc>
          <w:tcPr>
            <w:tcW w:w="4320" w:type="dxa"/>
          </w:tcPr>
          <w:p w14:paraId="70853251" w14:textId="77777777" w:rsidR="00D954DB" w:rsidRPr="00CA2E61" w:rsidRDefault="00D954DB" w:rsidP="008C02B0">
            <w:pPr>
              <w:rPr>
                <w:rFonts w:ascii="Open Sans" w:hAnsi="Open Sans" w:cs="Open Sans"/>
              </w:rPr>
            </w:pPr>
            <w:r w:rsidRPr="00CA2E61">
              <w:rPr>
                <w:rFonts w:ascii="Open Sans" w:hAnsi="Open Sans" w:cs="Open Sans"/>
              </w:rPr>
              <w:t xml:space="preserve">Inefficacité </w:t>
            </w:r>
          </w:p>
        </w:tc>
        <w:tc>
          <w:tcPr>
            <w:tcW w:w="4320" w:type="dxa"/>
          </w:tcPr>
          <w:p w14:paraId="40E843D0" w14:textId="77777777" w:rsidR="00D954DB" w:rsidRPr="00CA2E61" w:rsidRDefault="00D954DB" w:rsidP="008C02B0">
            <w:pPr>
              <w:rPr>
                <w:rFonts w:ascii="Open Sans" w:hAnsi="Open Sans" w:cs="Open Sans"/>
              </w:rPr>
            </w:pPr>
            <w:r w:rsidRPr="00CA2E61">
              <w:rPr>
                <w:rFonts w:ascii="Open Sans" w:hAnsi="Open Sans" w:cs="Open Sans"/>
              </w:rPr>
              <w:t>Les variations de juste valeur correspondant à la partie inefficace de la couverture sont comptabilisées immédiatement en résultat net.</w:t>
            </w:r>
          </w:p>
        </w:tc>
      </w:tr>
    </w:tbl>
    <w:p w14:paraId="1E635658"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p>
    <w:p w14:paraId="7565F0AB" w14:textId="77777777" w:rsidR="00E5447D" w:rsidRPr="00CA2E61" w:rsidRDefault="00E5447D" w:rsidP="00CF0A84">
      <w:pPr>
        <w:pStyle w:val="Titre1"/>
        <w:rPr>
          <w:rFonts w:ascii="Open Sans" w:hAnsi="Open Sans" w:cs="Open Sans"/>
          <w:lang w:val="fr-CH"/>
        </w:rPr>
      </w:pPr>
      <w:r w:rsidRPr="00CA2E61">
        <w:rPr>
          <w:rFonts w:ascii="Open Sans" w:hAnsi="Open Sans" w:cs="Open Sans"/>
          <w:lang w:val="fr-CH"/>
        </w:rPr>
        <w:lastRenderedPageBreak/>
        <w:t>8. Conclusion</w:t>
      </w:r>
    </w:p>
    <w:p w14:paraId="62CED20C" w14:textId="76013205"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La stratégie de macro-</w:t>
      </w:r>
      <w:proofErr w:type="spellStart"/>
      <w:r w:rsidRPr="00CA2E61">
        <w:rPr>
          <w:rFonts w:ascii="Open Sans" w:hAnsi="Open Sans" w:cs="Open Sans"/>
          <w:color w:val="4B4B4B"/>
          <w:lang w:val="fr-CH"/>
        </w:rPr>
        <w:t>hedging</w:t>
      </w:r>
      <w:proofErr w:type="spellEnd"/>
      <w:r w:rsidRPr="00CA2E61">
        <w:rPr>
          <w:rFonts w:ascii="Open Sans" w:hAnsi="Open Sans" w:cs="Open Sans"/>
          <w:color w:val="4B4B4B"/>
          <w:lang w:val="fr-CH"/>
        </w:rPr>
        <w:t xml:space="preserve"> GEN0 mise en place par le groupe </w:t>
      </w:r>
      <w:r w:rsidR="00467CEA">
        <w:rPr>
          <w:rFonts w:ascii="Open Sans" w:hAnsi="Open Sans" w:cs="Open Sans"/>
          <w:color w:val="4B4B4B"/>
          <w:lang w:val="fr-CH"/>
        </w:rPr>
        <w:t>SAGESSE</w:t>
      </w:r>
      <w:r w:rsidRPr="00CA2E61">
        <w:rPr>
          <w:rFonts w:ascii="Open Sans" w:hAnsi="Open Sans" w:cs="Open Sans"/>
          <w:color w:val="4B4B4B"/>
          <w:lang w:val="fr-CH"/>
        </w:rPr>
        <w:t xml:space="preserve"> répond aux critères de IFRS 9 en matière de comptabilité de couverture.</w:t>
      </w:r>
    </w:p>
    <w:p w14:paraId="335CEF00" w14:textId="1BF9419E"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L’efficacité est démontrée par des tests prospectifs et rétrospectifs (100% d’efficacité).</w:t>
      </w:r>
    </w:p>
    <w:p w14:paraId="0F49A846"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Le traitement comptable respecte les exigences du cadre IFRS 9, avec reconnaissance des variations de juste valeur en OCI pour la partie efficace.</w:t>
      </w:r>
    </w:p>
    <w:p w14:paraId="17C92DAB"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Une documentation détaillée est maintenue pour assurer la conformité aux audits réglementaires.</w:t>
      </w:r>
    </w:p>
    <w:p w14:paraId="1BE9C15B" w14:textId="77777777" w:rsidR="00E5447D" w:rsidRPr="00CA2E61" w:rsidRDefault="00E5447D" w:rsidP="00E5447D">
      <w:pPr>
        <w:shd w:val="clear" w:color="auto" w:fill="FFFFFF"/>
        <w:spacing w:before="40" w:after="0"/>
        <w:contextualSpacing/>
        <w:jc w:val="both"/>
        <w:rPr>
          <w:rFonts w:ascii="Open Sans" w:hAnsi="Open Sans" w:cs="Open Sans"/>
          <w:color w:val="4B4B4B"/>
          <w:lang w:val="fr-CH"/>
        </w:rPr>
      </w:pPr>
    </w:p>
    <w:p w14:paraId="71AB776E" w14:textId="50275668" w:rsidR="00E5447D" w:rsidRPr="00CA2E61" w:rsidRDefault="00E5447D" w:rsidP="00E5447D">
      <w:pPr>
        <w:shd w:val="clear" w:color="auto" w:fill="FFFFFF"/>
        <w:spacing w:before="40" w:after="0"/>
        <w:contextualSpacing/>
        <w:jc w:val="both"/>
        <w:rPr>
          <w:rFonts w:ascii="Open Sans" w:hAnsi="Open Sans" w:cs="Open Sans"/>
          <w:color w:val="4B4B4B"/>
          <w:lang w:val="fr-CH"/>
        </w:rPr>
      </w:pPr>
      <w:r w:rsidRPr="00CA2E61">
        <w:rPr>
          <w:rFonts w:ascii="Open Sans" w:hAnsi="Open Sans" w:cs="Open Sans"/>
          <w:color w:val="4B4B4B"/>
          <w:lang w:val="fr-CH"/>
        </w:rPr>
        <w:t xml:space="preserve">Ce document peut être utilisé comme référence pour les auditeurs afin de justifier la relation de couverture sous IFRS 9 et garantir la transparence des états financiers consolidés du groupe </w:t>
      </w:r>
      <w:r w:rsidR="00467CEA">
        <w:rPr>
          <w:rFonts w:ascii="Open Sans" w:hAnsi="Open Sans" w:cs="Open Sans"/>
          <w:color w:val="4B4B4B"/>
          <w:lang w:val="fr-CH"/>
        </w:rPr>
        <w:t>SAGESSE</w:t>
      </w:r>
      <w:r w:rsidRPr="00CA2E61">
        <w:rPr>
          <w:rFonts w:ascii="Open Sans" w:hAnsi="Open Sans" w:cs="Open Sans"/>
          <w:color w:val="4B4B4B"/>
          <w:lang w:val="fr-CH"/>
        </w:rPr>
        <w:t>.</w:t>
      </w:r>
    </w:p>
    <w:p w14:paraId="7A6EB833" w14:textId="30EE6571" w:rsidR="00BB36B6" w:rsidRPr="00CA2E61" w:rsidRDefault="00BB36B6" w:rsidP="00E5447D">
      <w:pPr>
        <w:shd w:val="clear" w:color="auto" w:fill="FFFFFF"/>
        <w:spacing w:before="40" w:after="0"/>
        <w:contextualSpacing/>
        <w:jc w:val="both"/>
        <w:rPr>
          <w:rFonts w:ascii="Open Sans" w:hAnsi="Open Sans" w:cs="Open Sans"/>
          <w:b/>
          <w:bCs/>
          <w:color w:val="E58B39" w:themeColor="accent3"/>
          <w:lang w:val="fr-CH"/>
        </w:rPr>
      </w:pPr>
    </w:p>
    <w:sectPr w:rsidR="00BB36B6" w:rsidRPr="00CA2E61" w:rsidSect="006462D4">
      <w:headerReference w:type="default" r:id="rId8"/>
      <w:footerReference w:type="default" r:id="rId9"/>
      <w:headerReference w:type="first" r:id="rId10"/>
      <w:footerReference w:type="first" r:id="rId11"/>
      <w:pgSz w:w="11906" w:h="16838" w:code="9"/>
      <w:pgMar w:top="2268" w:right="1701" w:bottom="2268"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99F7" w14:textId="77777777" w:rsidR="00CE4CD0" w:rsidRDefault="00CE4CD0" w:rsidP="00610973">
      <w:pPr>
        <w:spacing w:after="0" w:line="240" w:lineRule="auto"/>
      </w:pPr>
      <w:r>
        <w:separator/>
      </w:r>
    </w:p>
  </w:endnote>
  <w:endnote w:type="continuationSeparator" w:id="0">
    <w:p w14:paraId="691F199B" w14:textId="77777777" w:rsidR="00CE4CD0" w:rsidRDefault="00CE4CD0" w:rsidP="0061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nken Grotesk">
    <w:altName w:val="Calibri"/>
    <w:charset w:val="00"/>
    <w:family w:val="auto"/>
    <w:pitch w:val="variable"/>
    <w:sig w:usb0="A00000FF" w:usb1="4000207B" w:usb2="00000000" w:usb3="00000000" w:csb0="00000193" w:csb1="00000000"/>
  </w:font>
  <w:font w:name="Open Sans">
    <w:charset w:val="00"/>
    <w:family w:val="swiss"/>
    <w:pitch w:val="variable"/>
    <w:sig w:usb0="E00002EF" w:usb1="4000205B" w:usb2="00000028" w:usb3="00000000" w:csb0="0000019F" w:csb1="00000000"/>
  </w:font>
  <w:font w:name="Pill Gothic 600mg Bk">
    <w:altName w:val="Calibri"/>
    <w:panose1 w:val="00000000000000000000"/>
    <w:charset w:val="00"/>
    <w:family w:val="modern"/>
    <w:notTrueType/>
    <w:pitch w:val="variable"/>
    <w:sig w:usb0="8000002F" w:usb1="5000407B" w:usb2="00000000" w:usb3="00000000" w:csb0="00000001" w:csb1="00000000"/>
  </w:font>
  <w:font w:name="Open Sans Medium">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F76A" w14:textId="440E12EC" w:rsidR="00610973" w:rsidRDefault="00B569A4">
    <w:pPr>
      <w:pStyle w:val="Pieddepage"/>
    </w:pPr>
    <w:r>
      <w:rPr>
        <w:noProof/>
      </w:rPr>
      <mc:AlternateContent>
        <mc:Choice Requires="wps">
          <w:drawing>
            <wp:anchor distT="0" distB="0" distL="114300" distR="114300" simplePos="0" relativeHeight="251669504" behindDoc="0" locked="0" layoutInCell="1" allowOverlap="1" wp14:anchorId="6A395672" wp14:editId="6963CD00">
              <wp:simplePos x="0" y="0"/>
              <wp:positionH relativeFrom="page">
                <wp:posOffset>-180109</wp:posOffset>
              </wp:positionH>
              <wp:positionV relativeFrom="paragraph">
                <wp:posOffset>-25285</wp:posOffset>
              </wp:positionV>
              <wp:extent cx="7945582" cy="1378528"/>
              <wp:effectExtent l="0" t="0" r="0" b="0"/>
              <wp:wrapNone/>
              <wp:docPr id="944269325" name="Rectangle 8"/>
              <wp:cNvGraphicFramePr/>
              <a:graphic xmlns:a="http://schemas.openxmlformats.org/drawingml/2006/main">
                <a:graphicData uri="http://schemas.microsoft.com/office/word/2010/wordprocessingShape">
                  <wps:wsp>
                    <wps:cNvSpPr/>
                    <wps:spPr>
                      <a:xfrm>
                        <a:off x="0" y="0"/>
                        <a:ext cx="7945582" cy="1378528"/>
                      </a:xfrm>
                      <a:prstGeom prst="rect">
                        <a:avLst/>
                      </a:prstGeom>
                      <a:solidFill>
                        <a:srgbClr val="0A47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6C44" id="Rectangle 8" o:spid="_x0000_s1026" style="position:absolute;margin-left:-14.2pt;margin-top:-2pt;width:625.65pt;height:10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" fillcolor="#0a4741" stroked="f" strokeweight="1pt">
              <w10:wrap anchorx="page"/>
            </v:rect>
          </w:pict>
        </mc:Fallback>
      </mc:AlternateContent>
    </w:r>
  </w:p>
  <w:p w14:paraId="15E5F889" w14:textId="2D947BC9" w:rsidR="00610973" w:rsidRDefault="00610973">
    <w:pPr>
      <w:pStyle w:val="Pieddepage"/>
    </w:pPr>
  </w:p>
  <w:p w14:paraId="65B233A5" w14:textId="784B165D" w:rsidR="00610973" w:rsidRDefault="00443189">
    <w:pPr>
      <w:pStyle w:val="Pieddepage"/>
    </w:pPr>
    <w:r>
      <w:rPr>
        <w:noProof/>
      </w:rPr>
      <mc:AlternateContent>
        <mc:Choice Requires="wps">
          <w:drawing>
            <wp:anchor distT="45720" distB="45720" distL="114300" distR="114300" simplePos="0" relativeHeight="251672576" behindDoc="0" locked="0" layoutInCell="1" allowOverlap="1" wp14:anchorId="03BFAA5C" wp14:editId="29A31744">
              <wp:simplePos x="0" y="0"/>
              <wp:positionH relativeFrom="margin">
                <wp:align>center</wp:align>
              </wp:positionH>
              <wp:positionV relativeFrom="paragraph">
                <wp:posOffset>146965</wp:posOffset>
              </wp:positionV>
              <wp:extent cx="2960370" cy="1404620"/>
              <wp:effectExtent l="0" t="0" r="0" b="635"/>
              <wp:wrapSquare wrapText="bothSides"/>
              <wp:docPr id="3726683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04620"/>
                      </a:xfrm>
                      <a:prstGeom prst="rect">
                        <a:avLst/>
                      </a:prstGeom>
                      <a:noFill/>
                      <a:ln w="9525">
                        <a:noFill/>
                        <a:miter lim="800000"/>
                        <a:headEnd/>
                        <a:tailEnd/>
                      </a:ln>
                    </wps:spPr>
                    <wps:txbx>
                      <w:txbxContent>
                        <w:p w14:paraId="41F47340" w14:textId="1990C7F9" w:rsidR="00443189" w:rsidRPr="00C32DF9" w:rsidRDefault="00443189" w:rsidP="00443189">
                          <w:pPr>
                            <w:pStyle w:val="Pieddepage"/>
                            <w:jc w:val="center"/>
                            <w:rPr>
                              <w:rFonts w:ascii="Open Sans Medium" w:hAnsi="Open Sans Medium" w:cs="Open Sans Medium"/>
                              <w:color w:val="E8E8E8" w:themeColor="background1"/>
                              <w:sz w:val="20"/>
                              <w:szCs w:val="20"/>
                            </w:rPr>
                          </w:pPr>
                          <w:r w:rsidRPr="00C32DF9">
                            <w:rPr>
                              <w:rFonts w:ascii="Open Sans Medium" w:hAnsi="Open Sans Medium" w:cs="Open Sans Medium"/>
                              <w:color w:val="E8E8E8" w:themeColor="background1"/>
                              <w:sz w:val="20"/>
                              <w:szCs w:val="20"/>
                            </w:rPr>
                            <w:t>KERIUS FINANCE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A5C" id="_x0000_t202" coordsize="21600,21600" o:spt="202" path="m,l,21600r21600,l21600,xe">
              <v:stroke joinstyle="miter"/>
              <v:path gradientshapeok="t" o:connecttype="rect"/>
            </v:shapetype>
            <v:shape id="_x0000_s1028" type="#_x0000_t202" style="position:absolute;margin-left:0;margin-top:11.55pt;width:233.1pt;height:110.6pt;z-index:2516725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77+wEAAM4DAAAOAAAAZHJzL2Uyb0RvYy54bWysU8tu2zAQvBfoPxC815Jd24k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" filled="f" stroked="f">
              <v:textbox style="mso-fit-shape-to-text:t">
                <w:txbxContent>
                  <w:p w14:paraId="41F47340" w14:textId="1990C7F9" w:rsidR="00443189" w:rsidRPr="00C32DF9" w:rsidRDefault="00443189" w:rsidP="00443189">
                    <w:pPr>
                      <w:pStyle w:val="Pieddepage"/>
                      <w:jc w:val="center"/>
                      <w:rPr>
                        <w:rFonts w:ascii="Open Sans Medium" w:hAnsi="Open Sans Medium" w:cs="Open Sans Medium"/>
                        <w:color w:val="E8E8E8" w:themeColor="background1"/>
                        <w:sz w:val="20"/>
                        <w:szCs w:val="20"/>
                      </w:rPr>
                    </w:pPr>
                    <w:r w:rsidRPr="00C32DF9">
                      <w:rPr>
                        <w:rFonts w:ascii="Open Sans Medium" w:hAnsi="Open Sans Medium" w:cs="Open Sans Medium"/>
                        <w:color w:val="E8E8E8" w:themeColor="background1"/>
                        <w:sz w:val="20"/>
                        <w:szCs w:val="20"/>
                      </w:rPr>
                      <w:t>KERIUS FINANCE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1CEE" w14:textId="16A33DD2" w:rsidR="00BB36B6" w:rsidRDefault="00F76846">
    <w:pPr>
      <w:pStyle w:val="Pieddepage"/>
    </w:pPr>
    <w:r>
      <w:rPr>
        <w:noProof/>
      </w:rPr>
      <w:drawing>
        <wp:anchor distT="0" distB="0" distL="114300" distR="114300" simplePos="0" relativeHeight="251674624" behindDoc="0" locked="0" layoutInCell="1" allowOverlap="1" wp14:anchorId="5A6E36E1" wp14:editId="54911AD9">
          <wp:simplePos x="0" y="0"/>
          <wp:positionH relativeFrom="margin">
            <wp:posOffset>5061888</wp:posOffset>
          </wp:positionH>
          <wp:positionV relativeFrom="paragraph">
            <wp:posOffset>-1339083</wp:posOffset>
          </wp:positionV>
          <wp:extent cx="2117490" cy="2635043"/>
          <wp:effectExtent l="7937" t="0" r="5398" b="5397"/>
          <wp:wrapNone/>
          <wp:docPr id="122273646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36468" name="Graphique 1222736468"/>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2781"/>
                  <a:stretch/>
                </pic:blipFill>
                <pic:spPr bwMode="auto">
                  <a:xfrm rot="5400000" flipH="1" flipV="1">
                    <a:off x="0" y="0"/>
                    <a:ext cx="2117759" cy="2635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4DE7">
      <w:rPr>
        <w:noProof/>
      </w:rPr>
      <mc:AlternateContent>
        <mc:Choice Requires="wps">
          <w:drawing>
            <wp:anchor distT="45720" distB="45720" distL="114300" distR="114300" simplePos="0" relativeHeight="251663360" behindDoc="0" locked="0" layoutInCell="1" allowOverlap="1" wp14:anchorId="07931480" wp14:editId="76835276">
              <wp:simplePos x="0" y="0"/>
              <wp:positionH relativeFrom="margin">
                <wp:align>center</wp:align>
              </wp:positionH>
              <wp:positionV relativeFrom="paragraph">
                <wp:posOffset>30480</wp:posOffset>
              </wp:positionV>
              <wp:extent cx="2960370" cy="1404620"/>
              <wp:effectExtent l="0" t="0" r="0"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04620"/>
                      </a:xfrm>
                      <a:prstGeom prst="rect">
                        <a:avLst/>
                      </a:prstGeom>
                      <a:noFill/>
                      <a:ln w="9525">
                        <a:noFill/>
                        <a:miter lim="800000"/>
                        <a:headEnd/>
                        <a:tailEnd/>
                      </a:ln>
                    </wps:spPr>
                    <wps:txbx>
                      <w:txbxContent>
                        <w:p w14:paraId="2B4E83B6" w14:textId="628880FD" w:rsidR="00BB36B6" w:rsidRPr="00C32DF9" w:rsidRDefault="00BB36B6" w:rsidP="00BB36B6">
                          <w:pPr>
                            <w:pStyle w:val="Pieddepage"/>
                            <w:jc w:val="center"/>
                            <w:rPr>
                              <w:rFonts w:ascii="Open Sans Medium" w:hAnsi="Open Sans Medium" w:cs="Open Sans Medium"/>
                              <w:color w:val="0A4741"/>
                              <w:sz w:val="20"/>
                              <w:szCs w:val="20"/>
                            </w:rPr>
                          </w:pPr>
                          <w:r w:rsidRPr="00C32DF9">
                            <w:rPr>
                              <w:rFonts w:ascii="Open Sans Medium" w:hAnsi="Open Sans Medium" w:cs="Open Sans Medium"/>
                              <w:color w:val="0A4741"/>
                              <w:sz w:val="20"/>
                              <w:szCs w:val="20"/>
                            </w:rPr>
                            <w:t>KERIUS FINANCE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31480" id="_x0000_t202" coordsize="21600,21600" o:spt="202" path="m,l,21600r21600,l21600,xe">
              <v:stroke joinstyle="miter"/>
              <v:path gradientshapeok="t" o:connecttype="rect"/>
            </v:shapetype>
            <v:shape id="_x0000_s1029" type="#_x0000_t202" style="position:absolute;margin-left:0;margin-top:2.4pt;width:233.1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yH/QEAANUDAAAOAAAAZHJzL2Uyb0RvYy54bWysU11v2yAUfZ+0/4B4X2xnTtp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" filled="f" stroked="f">
              <v:textbox style="mso-fit-shape-to-text:t">
                <w:txbxContent>
                  <w:p w14:paraId="2B4E83B6" w14:textId="628880FD" w:rsidR="00BB36B6" w:rsidRPr="00C32DF9" w:rsidRDefault="00BB36B6" w:rsidP="00BB36B6">
                    <w:pPr>
                      <w:pStyle w:val="Pieddepage"/>
                      <w:jc w:val="center"/>
                      <w:rPr>
                        <w:rFonts w:ascii="Open Sans Medium" w:hAnsi="Open Sans Medium" w:cs="Open Sans Medium"/>
                        <w:color w:val="0A4741"/>
                        <w:sz w:val="20"/>
                        <w:szCs w:val="20"/>
                      </w:rPr>
                    </w:pPr>
                    <w:r w:rsidRPr="00C32DF9">
                      <w:rPr>
                        <w:rFonts w:ascii="Open Sans Medium" w:hAnsi="Open Sans Medium" w:cs="Open Sans Medium"/>
                        <w:color w:val="0A4741"/>
                        <w:sz w:val="20"/>
                        <w:szCs w:val="20"/>
                      </w:rPr>
                      <w:t>KERIUS FINANCE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C6A9" w14:textId="77777777" w:rsidR="00CE4CD0" w:rsidRDefault="00CE4CD0" w:rsidP="00610973">
      <w:pPr>
        <w:spacing w:after="0" w:line="240" w:lineRule="auto"/>
      </w:pPr>
      <w:r>
        <w:separator/>
      </w:r>
    </w:p>
  </w:footnote>
  <w:footnote w:type="continuationSeparator" w:id="0">
    <w:p w14:paraId="4C044D8B" w14:textId="77777777" w:rsidR="00CE4CD0" w:rsidRDefault="00CE4CD0" w:rsidP="0061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460D" w14:textId="42B78CD9" w:rsidR="009F4DE7" w:rsidRDefault="00F76846">
    <w:pPr>
      <w:pStyle w:val="En-tte"/>
    </w:pPr>
    <w:r>
      <w:rPr>
        <w:noProof/>
      </w:rPr>
      <w:drawing>
        <wp:anchor distT="0" distB="0" distL="114300" distR="114300" simplePos="0" relativeHeight="251661310" behindDoc="0" locked="0" layoutInCell="1" allowOverlap="1" wp14:anchorId="6438823E" wp14:editId="0F8764BA">
          <wp:simplePos x="0" y="0"/>
          <wp:positionH relativeFrom="column">
            <wp:posOffset>-2974340</wp:posOffset>
          </wp:positionH>
          <wp:positionV relativeFrom="paragraph">
            <wp:posOffset>-937602</wp:posOffset>
          </wp:positionV>
          <wp:extent cx="6866878" cy="1519569"/>
          <wp:effectExtent l="0" t="571500" r="0" b="556895"/>
          <wp:wrapNone/>
          <wp:docPr id="1956784771" name="Image 2" descr="Une image contenant Graphique, lam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84771" name="Image 2" descr="Une image contenant Graphique, lamp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rot="21031094" flipH="1" flipV="1">
                    <a:off x="0" y="0"/>
                    <a:ext cx="6866878" cy="1519569"/>
                  </a:xfrm>
                  <a:prstGeom prst="rect">
                    <a:avLst/>
                  </a:prstGeom>
                </pic:spPr>
              </pic:pic>
            </a:graphicData>
          </a:graphic>
          <wp14:sizeRelH relativeFrom="margin">
            <wp14:pctWidth>0</wp14:pctWidth>
          </wp14:sizeRelH>
          <wp14:sizeRelV relativeFrom="margin">
            <wp14:pctHeight>0</wp14:pctHeight>
          </wp14:sizeRelV>
        </wp:anchor>
      </w:drawing>
    </w:r>
    <w:r w:rsidR="009F4DE7">
      <w:softHyphen/>
    </w:r>
    <w:r w:rsidR="009F4DE7">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D04A" w14:textId="344B3D07" w:rsidR="00F66947" w:rsidRDefault="00BA2C9B">
    <w:pPr>
      <w:pStyle w:val="En-tte"/>
    </w:pPr>
    <w:r>
      <w:rPr>
        <w:rFonts w:ascii="Hanken Grotesk" w:hAnsi="Hanken Grotesk"/>
        <w:noProof/>
        <w:color w:val="333333"/>
        <w:sz w:val="28"/>
        <w:szCs w:val="28"/>
      </w:rPr>
      <mc:AlternateContent>
        <mc:Choice Requires="wps">
          <w:drawing>
            <wp:anchor distT="0" distB="0" distL="114300" distR="114300" simplePos="0" relativeHeight="251662335" behindDoc="0" locked="0" layoutInCell="1" allowOverlap="1" wp14:anchorId="59AAA543" wp14:editId="2AC60C73">
              <wp:simplePos x="0" y="0"/>
              <wp:positionH relativeFrom="page">
                <wp:posOffset>-173182</wp:posOffset>
              </wp:positionH>
              <wp:positionV relativeFrom="paragraph">
                <wp:posOffset>-851708</wp:posOffset>
              </wp:positionV>
              <wp:extent cx="8228965" cy="2168236"/>
              <wp:effectExtent l="0" t="0" r="635" b="3810"/>
              <wp:wrapNone/>
              <wp:docPr id="662193675" name="Rectangle 5"/>
              <wp:cNvGraphicFramePr/>
              <a:graphic xmlns:a="http://schemas.openxmlformats.org/drawingml/2006/main">
                <a:graphicData uri="http://schemas.microsoft.com/office/word/2010/wordprocessingShape">
                  <wps:wsp>
                    <wps:cNvSpPr/>
                    <wps:spPr>
                      <a:xfrm>
                        <a:off x="0" y="0"/>
                        <a:ext cx="8228965" cy="2168236"/>
                      </a:xfrm>
                      <a:prstGeom prst="rect">
                        <a:avLst/>
                      </a:prstGeom>
                      <a:solidFill>
                        <a:srgbClr val="0A47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6C78" id="Rectangle 5" o:spid="_x0000_s1026" style="position:absolute;margin-left:-13.65pt;margin-top:-67.05pt;width:647.95pt;height:170.75pt;z-index:2516623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" fillcolor="#0a4741" stroked="f" strokeweight="1pt">
              <w10:wrap anchorx="page"/>
            </v:rect>
          </w:pict>
        </mc:Fallback>
      </mc:AlternateContent>
    </w:r>
    <w:r w:rsidR="00F76846">
      <w:rPr>
        <w:rFonts w:ascii="Hanken Grotesk" w:hAnsi="Hanken Grotesk"/>
        <w:noProof/>
        <w:color w:val="333333"/>
        <w:sz w:val="28"/>
        <w:szCs w:val="28"/>
      </w:rPr>
      <w:drawing>
        <wp:anchor distT="0" distB="0" distL="114300" distR="114300" simplePos="0" relativeHeight="251675648" behindDoc="0" locked="0" layoutInCell="1" allowOverlap="1" wp14:anchorId="50A6FCBE" wp14:editId="1AAB532E">
          <wp:simplePos x="0" y="0"/>
          <wp:positionH relativeFrom="margin">
            <wp:align>center</wp:align>
          </wp:positionH>
          <wp:positionV relativeFrom="paragraph">
            <wp:posOffset>-24120</wp:posOffset>
          </wp:positionV>
          <wp:extent cx="2866030" cy="737161"/>
          <wp:effectExtent l="0" t="0" r="0" b="6350"/>
          <wp:wrapNone/>
          <wp:docPr id="1507978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78587" name="Graphique 150797858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66030" cy="7371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FCE"/>
    <w:multiLevelType w:val="hybridMultilevel"/>
    <w:tmpl w:val="0AEA3370"/>
    <w:lvl w:ilvl="0" w:tplc="040C0005">
      <w:start w:val="1"/>
      <w:numFmt w:val="bullet"/>
      <w:lvlText w:val=""/>
      <w:lvlJc w:val="left"/>
      <w:pPr>
        <w:ind w:left="1068" w:hanging="708"/>
      </w:pPr>
      <w:rPr>
        <w:rFonts w:ascii="Wingdings" w:hAnsi="Wingdings"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9381C"/>
    <w:multiLevelType w:val="hybridMultilevel"/>
    <w:tmpl w:val="9F528E06"/>
    <w:lvl w:ilvl="0" w:tplc="5CD26B3E">
      <w:numFmt w:val="bullet"/>
      <w:lvlText w:val="-"/>
      <w:lvlJc w:val="left"/>
      <w:pPr>
        <w:ind w:left="1068" w:hanging="708"/>
      </w:pPr>
      <w:rPr>
        <w:rFonts w:ascii="Calibri" w:eastAsia="Calibr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10969"/>
    <w:multiLevelType w:val="hybridMultilevel"/>
    <w:tmpl w:val="F4364798"/>
    <w:lvl w:ilvl="0" w:tplc="040C0005">
      <w:start w:val="1"/>
      <w:numFmt w:val="bullet"/>
      <w:lvlText w:val=""/>
      <w:lvlJc w:val="left"/>
      <w:pPr>
        <w:ind w:left="708" w:hanging="708"/>
      </w:pPr>
      <w:rPr>
        <w:rFonts w:ascii="Wingdings" w:hAnsi="Wingdings"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301637"/>
    <w:multiLevelType w:val="hybridMultilevel"/>
    <w:tmpl w:val="8CF889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41CF0"/>
    <w:multiLevelType w:val="hybridMultilevel"/>
    <w:tmpl w:val="C1DE15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235DDF"/>
    <w:multiLevelType w:val="hybridMultilevel"/>
    <w:tmpl w:val="B150FE00"/>
    <w:lvl w:ilvl="0" w:tplc="040C0005">
      <w:start w:val="1"/>
      <w:numFmt w:val="bullet"/>
      <w:lvlText w:val=""/>
      <w:lvlJc w:val="left"/>
      <w:pPr>
        <w:ind w:left="1068" w:hanging="708"/>
      </w:pPr>
      <w:rPr>
        <w:rFonts w:ascii="Wingdings" w:hAnsi="Wingdings"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562D0"/>
    <w:multiLevelType w:val="hybridMultilevel"/>
    <w:tmpl w:val="28A0C72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1CB719D"/>
    <w:multiLevelType w:val="hybridMultilevel"/>
    <w:tmpl w:val="E1B8EBF0"/>
    <w:lvl w:ilvl="0" w:tplc="04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26519985">
    <w:abstractNumId w:val="1"/>
  </w:num>
  <w:num w:numId="2" w16cid:durableId="1291328613">
    <w:abstractNumId w:val="0"/>
  </w:num>
  <w:num w:numId="3" w16cid:durableId="1045178463">
    <w:abstractNumId w:val="2"/>
  </w:num>
  <w:num w:numId="4" w16cid:durableId="2085881444">
    <w:abstractNumId w:val="5"/>
  </w:num>
  <w:num w:numId="5" w16cid:durableId="216555197">
    <w:abstractNumId w:val="6"/>
  </w:num>
  <w:num w:numId="6" w16cid:durableId="2121681149">
    <w:abstractNumId w:val="7"/>
  </w:num>
  <w:num w:numId="7" w16cid:durableId="1270818602">
    <w:abstractNumId w:val="4"/>
  </w:num>
  <w:num w:numId="8" w16cid:durableId="150609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73"/>
    <w:rsid w:val="00021251"/>
    <w:rsid w:val="000B19DA"/>
    <w:rsid w:val="00123E46"/>
    <w:rsid w:val="00140844"/>
    <w:rsid w:val="00145B09"/>
    <w:rsid w:val="00150F0B"/>
    <w:rsid w:val="00176D66"/>
    <w:rsid w:val="001D1D3F"/>
    <w:rsid w:val="001F4548"/>
    <w:rsid w:val="002345AB"/>
    <w:rsid w:val="00236CC5"/>
    <w:rsid w:val="00254510"/>
    <w:rsid w:val="0026136B"/>
    <w:rsid w:val="0026145F"/>
    <w:rsid w:val="002664B1"/>
    <w:rsid w:val="00291C9B"/>
    <w:rsid w:val="00372517"/>
    <w:rsid w:val="00392D03"/>
    <w:rsid w:val="003B0B3F"/>
    <w:rsid w:val="003C7A5C"/>
    <w:rsid w:val="00443189"/>
    <w:rsid w:val="00467CEA"/>
    <w:rsid w:val="00495B21"/>
    <w:rsid w:val="005D2CCF"/>
    <w:rsid w:val="0060783F"/>
    <w:rsid w:val="00610973"/>
    <w:rsid w:val="006462D4"/>
    <w:rsid w:val="00746F30"/>
    <w:rsid w:val="0075377C"/>
    <w:rsid w:val="007575E7"/>
    <w:rsid w:val="007A0034"/>
    <w:rsid w:val="007A3BE7"/>
    <w:rsid w:val="007F2F3E"/>
    <w:rsid w:val="00822D57"/>
    <w:rsid w:val="008449AC"/>
    <w:rsid w:val="00873A69"/>
    <w:rsid w:val="008C148D"/>
    <w:rsid w:val="008F2A07"/>
    <w:rsid w:val="00917695"/>
    <w:rsid w:val="00924596"/>
    <w:rsid w:val="00930DA7"/>
    <w:rsid w:val="00935F91"/>
    <w:rsid w:val="0096472A"/>
    <w:rsid w:val="009F4DE7"/>
    <w:rsid w:val="009F4FC6"/>
    <w:rsid w:val="009F5284"/>
    <w:rsid w:val="00A37FC4"/>
    <w:rsid w:val="00A66DD5"/>
    <w:rsid w:val="00A962FF"/>
    <w:rsid w:val="00AC3AFE"/>
    <w:rsid w:val="00AD4003"/>
    <w:rsid w:val="00B17C73"/>
    <w:rsid w:val="00B420AB"/>
    <w:rsid w:val="00B44454"/>
    <w:rsid w:val="00B569A4"/>
    <w:rsid w:val="00B96F99"/>
    <w:rsid w:val="00BA2C9B"/>
    <w:rsid w:val="00BB36B6"/>
    <w:rsid w:val="00C00301"/>
    <w:rsid w:val="00C32DF9"/>
    <w:rsid w:val="00C916BA"/>
    <w:rsid w:val="00CA2E61"/>
    <w:rsid w:val="00CC7C23"/>
    <w:rsid w:val="00CD0615"/>
    <w:rsid w:val="00CE4CD0"/>
    <w:rsid w:val="00CF0A84"/>
    <w:rsid w:val="00D06501"/>
    <w:rsid w:val="00D62991"/>
    <w:rsid w:val="00D62AFA"/>
    <w:rsid w:val="00D954DB"/>
    <w:rsid w:val="00D9679C"/>
    <w:rsid w:val="00DC4547"/>
    <w:rsid w:val="00DF30CB"/>
    <w:rsid w:val="00E0649F"/>
    <w:rsid w:val="00E24420"/>
    <w:rsid w:val="00E3311B"/>
    <w:rsid w:val="00E43B6A"/>
    <w:rsid w:val="00E50CB0"/>
    <w:rsid w:val="00E5447D"/>
    <w:rsid w:val="00EB08DF"/>
    <w:rsid w:val="00EC0B73"/>
    <w:rsid w:val="00EF5297"/>
    <w:rsid w:val="00F66947"/>
    <w:rsid w:val="00F72CD5"/>
    <w:rsid w:val="00F76846"/>
    <w:rsid w:val="00FA25AA"/>
    <w:rsid w:val="00FA383C"/>
    <w:rsid w:val="00FD7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7F96"/>
  <w15:chartTrackingRefBased/>
  <w15:docId w15:val="{28880D94-4237-49CF-A6D4-F5A108A8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447D"/>
    <w:pPr>
      <w:keepNext/>
      <w:keepLines/>
      <w:spacing w:before="240" w:after="0"/>
      <w:outlineLvl w:val="0"/>
    </w:pPr>
    <w:rPr>
      <w:rFonts w:asciiTheme="majorHAnsi" w:eastAsiaTheme="majorEastAsia" w:hAnsiTheme="majorHAnsi" w:cstheme="majorBidi"/>
      <w:color w:val="0B6E62" w:themeColor="accent1" w:themeShade="BF"/>
      <w:sz w:val="32"/>
      <w:szCs w:val="32"/>
    </w:rPr>
  </w:style>
  <w:style w:type="paragraph" w:styleId="Titre2">
    <w:name w:val="heading 2"/>
    <w:basedOn w:val="Normal"/>
    <w:next w:val="Normal"/>
    <w:link w:val="Titre2Car"/>
    <w:uiPriority w:val="9"/>
    <w:unhideWhenUsed/>
    <w:qFormat/>
    <w:rsid w:val="00E5447D"/>
    <w:pPr>
      <w:keepNext/>
      <w:keepLines/>
      <w:spacing w:before="40" w:after="0"/>
      <w:outlineLvl w:val="1"/>
    </w:pPr>
    <w:rPr>
      <w:rFonts w:asciiTheme="majorHAnsi" w:eastAsiaTheme="majorEastAsia" w:hAnsiTheme="majorHAnsi" w:cstheme="majorBidi"/>
      <w:color w:val="0B6E62" w:themeColor="accent1" w:themeShade="BF"/>
      <w:sz w:val="26"/>
      <w:szCs w:val="26"/>
    </w:rPr>
  </w:style>
  <w:style w:type="paragraph" w:styleId="Titre3">
    <w:name w:val="heading 3"/>
    <w:basedOn w:val="Normal"/>
    <w:next w:val="Normal"/>
    <w:link w:val="Titre3Car"/>
    <w:uiPriority w:val="9"/>
    <w:unhideWhenUsed/>
    <w:qFormat/>
    <w:rsid w:val="00E5447D"/>
    <w:pPr>
      <w:keepNext/>
      <w:keepLines/>
      <w:spacing w:before="40" w:after="0"/>
      <w:outlineLvl w:val="2"/>
    </w:pPr>
    <w:rPr>
      <w:rFonts w:asciiTheme="majorHAnsi" w:eastAsiaTheme="majorEastAsia" w:hAnsiTheme="majorHAnsi" w:cstheme="majorBidi"/>
      <w:color w:val="07494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973"/>
    <w:pPr>
      <w:tabs>
        <w:tab w:val="center" w:pos="4536"/>
        <w:tab w:val="right" w:pos="9072"/>
      </w:tabs>
      <w:spacing w:after="0" w:line="240" w:lineRule="auto"/>
    </w:pPr>
  </w:style>
  <w:style w:type="character" w:customStyle="1" w:styleId="En-tteCar">
    <w:name w:val="En-tête Car"/>
    <w:basedOn w:val="Policepardfaut"/>
    <w:link w:val="En-tte"/>
    <w:uiPriority w:val="99"/>
    <w:rsid w:val="00610973"/>
  </w:style>
  <w:style w:type="paragraph" w:styleId="Pieddepage">
    <w:name w:val="footer"/>
    <w:basedOn w:val="Normal"/>
    <w:link w:val="PieddepageCar"/>
    <w:uiPriority w:val="99"/>
    <w:unhideWhenUsed/>
    <w:rsid w:val="006109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973"/>
  </w:style>
  <w:style w:type="character" w:styleId="Lienhypertexte">
    <w:name w:val="Hyperlink"/>
    <w:uiPriority w:val="99"/>
    <w:rsid w:val="00BB36B6"/>
    <w:rPr>
      <w:rFonts w:cs="Times New Roman"/>
      <w:color w:val="0000FF"/>
      <w:u w:val="single"/>
    </w:rPr>
  </w:style>
  <w:style w:type="paragraph" w:styleId="Paragraphedeliste">
    <w:name w:val="List Paragraph"/>
    <w:basedOn w:val="Normal"/>
    <w:uiPriority w:val="34"/>
    <w:qFormat/>
    <w:rsid w:val="00E50CB0"/>
    <w:pPr>
      <w:spacing w:after="0" w:line="240" w:lineRule="auto"/>
      <w:ind w:left="720"/>
    </w:pPr>
    <w:rPr>
      <w:rFonts w:ascii="Calibri" w:eastAsia="Calibri" w:hAnsi="Calibri" w:cs="Calibri"/>
      <w:kern w:val="0"/>
      <w:lang w:eastAsia="fr-FR"/>
      <w14:ligatures w14:val="none"/>
    </w:rPr>
  </w:style>
  <w:style w:type="character" w:styleId="Mentionnonrsolue">
    <w:name w:val="Unresolved Mention"/>
    <w:basedOn w:val="Policepardfaut"/>
    <w:uiPriority w:val="99"/>
    <w:semiHidden/>
    <w:unhideWhenUsed/>
    <w:rsid w:val="008F2A07"/>
    <w:rPr>
      <w:color w:val="605E5C"/>
      <w:shd w:val="clear" w:color="auto" w:fill="E1DFDD"/>
    </w:rPr>
  </w:style>
  <w:style w:type="character" w:customStyle="1" w:styleId="Titre2Car">
    <w:name w:val="Titre 2 Car"/>
    <w:basedOn w:val="Policepardfaut"/>
    <w:link w:val="Titre2"/>
    <w:uiPriority w:val="9"/>
    <w:rsid w:val="00E5447D"/>
    <w:rPr>
      <w:rFonts w:asciiTheme="majorHAnsi" w:eastAsiaTheme="majorEastAsia" w:hAnsiTheme="majorHAnsi" w:cstheme="majorBidi"/>
      <w:color w:val="0B6E62" w:themeColor="accent1" w:themeShade="BF"/>
      <w:sz w:val="26"/>
      <w:szCs w:val="26"/>
    </w:rPr>
  </w:style>
  <w:style w:type="character" w:customStyle="1" w:styleId="Titre3Car">
    <w:name w:val="Titre 3 Car"/>
    <w:basedOn w:val="Policepardfaut"/>
    <w:link w:val="Titre3"/>
    <w:uiPriority w:val="9"/>
    <w:rsid w:val="00E5447D"/>
    <w:rPr>
      <w:rFonts w:asciiTheme="majorHAnsi" w:eastAsiaTheme="majorEastAsia" w:hAnsiTheme="majorHAnsi" w:cstheme="majorBidi"/>
      <w:color w:val="074941" w:themeColor="accent1" w:themeShade="7F"/>
      <w:sz w:val="24"/>
      <w:szCs w:val="24"/>
    </w:rPr>
  </w:style>
  <w:style w:type="character" w:customStyle="1" w:styleId="Titre1Car">
    <w:name w:val="Titre 1 Car"/>
    <w:basedOn w:val="Policepardfaut"/>
    <w:link w:val="Titre1"/>
    <w:uiPriority w:val="9"/>
    <w:rsid w:val="00E5447D"/>
    <w:rPr>
      <w:rFonts w:asciiTheme="majorHAnsi" w:eastAsiaTheme="majorEastAsia" w:hAnsiTheme="majorHAnsi" w:cstheme="majorBidi"/>
      <w:color w:val="0B6E62" w:themeColor="accent1" w:themeShade="BF"/>
      <w:sz w:val="32"/>
      <w:szCs w:val="32"/>
    </w:rPr>
  </w:style>
  <w:style w:type="table" w:styleId="Grilledutableau">
    <w:name w:val="Table Grid"/>
    <w:basedOn w:val="TableauNormal"/>
    <w:uiPriority w:val="59"/>
    <w:rsid w:val="00E5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1924">
      <w:bodyDiv w:val="1"/>
      <w:marLeft w:val="0"/>
      <w:marRight w:val="0"/>
      <w:marTop w:val="0"/>
      <w:marBottom w:val="0"/>
      <w:divBdr>
        <w:top w:val="none" w:sz="0" w:space="0" w:color="auto"/>
        <w:left w:val="none" w:sz="0" w:space="0" w:color="auto"/>
        <w:bottom w:val="none" w:sz="0" w:space="0" w:color="auto"/>
        <w:right w:val="none" w:sz="0" w:space="0" w:color="auto"/>
      </w:divBdr>
    </w:div>
    <w:div w:id="754324650">
      <w:bodyDiv w:val="1"/>
      <w:marLeft w:val="0"/>
      <w:marRight w:val="0"/>
      <w:marTop w:val="0"/>
      <w:marBottom w:val="0"/>
      <w:divBdr>
        <w:top w:val="none" w:sz="0" w:space="0" w:color="auto"/>
        <w:left w:val="none" w:sz="0" w:space="0" w:color="auto"/>
        <w:bottom w:val="none" w:sz="0" w:space="0" w:color="auto"/>
        <w:right w:val="none" w:sz="0" w:space="0" w:color="auto"/>
      </w:divBdr>
    </w:div>
    <w:div w:id="1027370365">
      <w:bodyDiv w:val="1"/>
      <w:marLeft w:val="0"/>
      <w:marRight w:val="0"/>
      <w:marTop w:val="0"/>
      <w:marBottom w:val="0"/>
      <w:divBdr>
        <w:top w:val="none" w:sz="0" w:space="0" w:color="auto"/>
        <w:left w:val="none" w:sz="0" w:space="0" w:color="auto"/>
        <w:bottom w:val="none" w:sz="0" w:space="0" w:color="auto"/>
        <w:right w:val="none" w:sz="0" w:space="0" w:color="auto"/>
      </w:divBdr>
    </w:div>
    <w:div w:id="20431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Thème &amp;">
      <a:dk1>
        <a:srgbClr val="0A4741"/>
      </a:dk1>
      <a:lt1>
        <a:srgbClr val="E8E8E8"/>
      </a:lt1>
      <a:dk2>
        <a:srgbClr val="0A4741"/>
      </a:dk2>
      <a:lt2>
        <a:srgbClr val="E8E8E8"/>
      </a:lt2>
      <a:accent1>
        <a:srgbClr val="0F9383"/>
      </a:accent1>
      <a:accent2>
        <a:srgbClr val="6CD2CB"/>
      </a:accent2>
      <a:accent3>
        <a:srgbClr val="E58B39"/>
      </a:accent3>
      <a:accent4>
        <a:srgbClr val="333333"/>
      </a:accent4>
      <a:accent5>
        <a:srgbClr val="C9EFEC"/>
      </a:accent5>
      <a:accent6>
        <a:srgbClr val="F3C79F"/>
      </a:accent6>
      <a:hlink>
        <a:srgbClr val="E58B39"/>
      </a:hlink>
      <a:folHlink>
        <a:srgbClr val="0F938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cap="rnd"/>
      </a:spPr>
      <a:bodyPr/>
      <a:lstStyle/>
      <a:style>
        <a:lnRef idx="1">
          <a:schemeClr val="accent2"/>
        </a:lnRef>
        <a:fillRef idx="0">
          <a:schemeClr val="accent2"/>
        </a:fillRef>
        <a:effectRef idx="0">
          <a:schemeClr val="accent2"/>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55DA-8062-44AF-A3C2-34B212DD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1145</Words>
  <Characters>6302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Gaillard</dc:creator>
  <cp:keywords/>
  <dc:description/>
  <cp:lastModifiedBy>Rony Zekri</cp:lastModifiedBy>
  <cp:revision>8</cp:revision>
  <cp:lastPrinted>2025-02-03T12:42:00Z</cp:lastPrinted>
  <dcterms:created xsi:type="dcterms:W3CDTF">2025-05-28T14:54:00Z</dcterms:created>
  <dcterms:modified xsi:type="dcterms:W3CDTF">2025-09-29T15:00:00Z</dcterms:modified>
</cp:coreProperties>
</file>